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Motion for Order Permitting Mental or Physical Examination of Party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SUPERIOR COURT OF THE STATE OF WASHINGTON 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FOR [county name] COUNTY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REQUEST FOR RELIEF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[Moving party designation, e.g., Defendant] [moving party name] moves the court under Wash. CR 35(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requiring that [name of proposed examinee], who is [specify party status or person under custody or control of party, e.g., the plaintiff in this action], submit to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[physical or mental] examination, for reasons more fully set forth below in this motion. [Moving party designation, e.g., Defendant] [moving party name] proposes that the examination take place on [date of examination], at [time of examination], at [location of examination]. The requested [physical or mental] examination is to consist of the following tests and procedures: [specify requested tests and procedures]. [Moving party designation, e.g., Defendant] [moving party name] further proposes and suggests to the court that the requested examination by conducted by [name of physician or psychiatrist], who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[specify type of professional, e.g., psychologist], licensed to practice [medicine or psychology] in the State of Washington.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STATEMENT OF FACTS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case involves [describe factual and procedural background as relevant to motion, including facts showing that proposed examinee's physical or mental condition is at issue in case].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STATEMENT OF ISSUES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Should [name of proposed examinee] be ordered to submit to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[physical or mental] examination pursuant to Wash. CR 35, as requested in Section </w:t>
      </w: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 this motion?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IV.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EVIDENCE RELIED ON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support of the motion, [Moving party designation, e.g., defendant] relies on [cite specific pleadings, discovery requests and responses, or declarations submitted with motion] and exhibits attached to them.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AUTHORITY AND ARGUMENT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court may order the physical or mental examination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party (or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person in the custody or under the legal control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party), when the proposed examinee's physical or mental condition is in controversy in the action. The order should be made on motion for good cause shown. Wash. CR 35(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)(1). In this case, [set forth argument, including additional authority if appropriate, showing that the proposed examinee's condition is at issue and that good cause exists to order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examination].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VI.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WASH. CR 26(i) CERTIFICATION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Counsel for [moving party designation, e.g., defendant] [moving party name] certifies that the conference requirements of Wash. CR 26(i) have been met, as detailed in the attached Declaration of [name of moving party attorney].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VII.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CONCLUSION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For all these reasons, [moving party designation, e.g., defendant] [moving party name] requests that the court order [name of proposed examinee] to submit to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[physical or mental] examination on [date of examination], at [time of examination], at [location of examination], as further specified in Section </w:t>
      </w:r>
      <w:r>
        <w:rPr>
          <w:rFonts w:ascii="Times New Roman" w:hAnsi="Times New Roman" w:eastAsia="Times New Roman" w:cs="Times New Roman"/>
          <w:b w:val="0"/>
          <w:sz w:val="24"/>
        </w:rPr>
        <w:t>I.</w:t>
      </w:r>
      <w:r>
        <w:rPr>
          <w:rFonts w:ascii="Times New Roman" w:hAnsi="Times New Roman" w:eastAsia="Times New Roman" w:cs="Times New Roman"/>
          <w:b w:val="0"/>
          <w:sz w:val="24"/>
        </w:rPr>
        <w:t>, above.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Washington State Bar Association No. [state bar I.D.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[e-mail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[moving party designation, e.g., Defendant] [moving party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