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Preliminary Injunction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[Moving party designation, e.g., Plaintiff] [moving party name] moves the court under Wash. CR 65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against [opposing party designation, e.g., defendant] [opposing party name] [generally describe object of injunction, e.g., prohibiting defendant from using or disseminating plaintiff's trade secrets] while this action pending, as more fully set forth below in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forth factual background of case, to extent pertinent to motion, using as many paragraphs as needed].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ISSUES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required by local rules, set forth relevant issues to be decided, e.g.: Is plaintiff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prohibiting defendant from using the or disseminating the software code described above in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RELIED 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support of the motion, [moving party designation, e.g., plaintiff] relies on [cite specific pleadings, discovery, responses, or declarations submitted with motion] and exhibits attached to them.</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under Wash. CR 65 if the moving party demonstrates: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legal or equitable right;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well-grounded fear of immediate invasion of that right; and</w:t>
      </w:r>
    </w:p>
    <w:p>
      <w:pPr>
        <w:keepNext w:val="0"/>
        <w:spacing w:before="200" w:after="0" w:line="260" w:lineRule="exact"/>
        <w:ind w:left="1800" w:right="0" w:firstLine="0"/>
        <w:jc w:val="both"/>
      </w:pPr>
      <w:r>
        <w:rPr>
          <w:rFonts w:ascii="Times New Roman" w:hAnsi="Times New Roman" w:eastAsia="Times New Roman" w:cs="Times New Roman"/>
          <w:b w:val="0"/>
          <w:sz w:val="24"/>
        </w:rPr>
        <w:t>• The adverse party's actions have caused, or will result in, actual and substantial injury to the moving party.</w:t>
      </w:r>
    </w:p>
    <w:p>
      <w:pPr>
        <w:keepNext w:val="0"/>
        <w:spacing w:before="200" w:after="0" w:line="260" w:lineRule="exact"/>
        <w:ind w:left="1440" w:right="0" w:firstLine="0"/>
        <w:jc w:val="both"/>
      </w:pPr>
      <w:r>
        <w:rPr>
          <w:rFonts w:ascii="Times New Roman" w:hAnsi="Times New Roman" w:eastAsia="Times New Roman" w:cs="Times New Roman"/>
          <w:b w:val="0"/>
          <w:sz w:val="24"/>
        </w:rPr>
        <w:t>Tyler Pipe Industries, Inc. v. Department of Revenue, 96 Wn.2d 785, 792, 638 P.2d 1213 (1982).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legal or equitable right, Washington courts examine the merits of the legal issues raised by the parties to determine the likelihood that the moving party will ultimately prevail on the merits. Rabon v. City of Seattle, 135 Wn.2d 278, 286, 957 P.2d 621 (1998); Tyler Pipe Industries, Inc. v. Department of Revenue, 96 Wn.2d 785, 793, 638 P.2d 1213 (1982).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[Cite further legal authority, as needed, and develop argument showing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should be granted].</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all these reasons, [moving party designation, e.g., plaintiff] respectfully requests that the court grant this motion and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against [opposing party designation, e.g., defendant] as follows: [specify terms of proposed preliminary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[moving party designation, e.g., Plaintiff] [moving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affidavits or declarations supporting motion</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