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Separate Trials on Liability and Damages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DEFENDANT'S MOTION FOR SEPARATE TRIALS ON LIABILITY AND DAMAGES</w:t>
      </w:r>
    </w:p>
    <w:p>
      <w:pPr>
        <w:keepNext w:val="0"/>
        <w:spacing w:before="200" w:after="0" w:line="260" w:lineRule="exact"/>
        <w:ind w:left="720" w:right="0" w:firstLine="0"/>
        <w:jc w:val="both"/>
      </w:pPr>
      <w:r>
        <w:rPr>
          <w:rFonts w:ascii="Times New Roman" w:hAnsi="Times New Roman" w:eastAsia="Times New Roman" w:cs="Times New Roman"/>
          <w:b w:val="0"/>
          <w:sz w:val="24"/>
        </w:rPr>
        <w:t>NOW COMES Defendant and in support of [his or her or its] Motion for Separate Trials on Liability and Damages pursuant to MCR 2.505(B)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[Using separately numbered paragraphs as necessary, state with particularity underlying facts of case, and list claims and defenses asserted by parties].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further explained in the accompanying affidavit and brief,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trial on issues of liability before commencing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on damage issues will avoid prejudice to Defendant and confusion by the jury, because [explain, e.g., the facts, witnesses, and other evidence relating to Plaintiff's claimed injuries and damage are clearly separable from those that relate to Defendant's alleged liability. Moreover, the nature of Plaintiff's claimed injuries and damage are such that allowing the jury to hear and view evidence of those injuries and damage before they decide liability will tend to prejudice the jury against Defendant, which prejudice cannot be avoided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limiting instruction or other similar measure].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trial on issues of liability before commencing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on damage issues will promote judicial economy and expedition, because, as further explained in the accompanying brief, [explain, e.g., the question of liability is very likely to be resolved in favor of Defendant, in which case it will be unnecessary to try any issues of damage].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affidavit of [affiant name], the accompanying brief, and the court's file and record of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Defendant certifies that [he or she] has [made personal contact with counsel for Plaintiff, on (date), requesting concurrence in the relief sought with this motion and that concurrence has been denied / made reasonable and diligent attempts to contact counsel requesting concurrence in the relief sought with this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WHEREFORE, for the reasons stated above, Defendant requests that the court grant this motion and order separate trials on the issues of liability and damages in this action, with the issues of liability to be tried before the damages issues.</w:t>
      </w:r>
    </w:p>
    <w:p>
      <w:pPr>
        <w:keepNext w:val="0"/>
        <w:spacing w:before="200" w:after="0" w:line="260" w:lineRule="exact"/>
        <w:ind w:left="360" w:right="0" w:firstLine="0"/>
        <w:jc w:val="both"/>
      </w:pPr>
      <w:r>
        <w:rPr>
          <w:rFonts w:ascii="Times New Roman" w:hAnsi="Times New Roman" w:eastAsia="Times New Roman" w:cs="Times New Roman"/>
          <w:b w:val="0"/>
          <w:sz w:val="24"/>
        </w:rPr>
        <w:t>Date: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200" w:after="0" w:line="260" w:lineRule="exact"/>
        <w:ind w:left="360" w:right="0" w:firstLine="0"/>
        <w:jc w:val="center"/>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200" w:after="0" w:line="260" w:lineRule="exact"/>
        <w:ind w:left="360" w:right="0" w:firstLine="0"/>
        <w:jc w:val="center"/>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