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Summary Disposition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360" w:right="0" w:firstLine="0"/>
        <w:jc w:val="center"/>
      </w:pPr>
      <w:r>
        <w:rPr>
          <w:rFonts w:ascii="Times New Roman" w:hAnsi="Times New Roman" w:eastAsia="Times New Roman" w:cs="Times New Roman"/>
          <w:b w:val="0"/>
          <w:sz w:val="24"/>
        </w:rPr>
        <w:t>[party designation, e.g., PLAINTIFF]'S MOTION FOR SUMMARY DISPOSITION – LACK OF GENUINE ISSUE OF MATERIAL FACT</w:t>
      </w:r>
    </w:p>
    <w:p>
      <w:pPr>
        <w:keepNext w:val="0"/>
        <w:spacing w:before="200" w:after="0" w:line="260" w:lineRule="exact"/>
        <w:ind w:left="720" w:right="0" w:firstLine="0"/>
        <w:jc w:val="both"/>
      </w:pPr>
      <w:r>
        <w:rPr>
          <w:rFonts w:ascii="Times New Roman" w:hAnsi="Times New Roman" w:eastAsia="Times New Roman" w:cs="Times New Roman"/>
          <w:b w:val="0"/>
          <w:sz w:val="24"/>
        </w:rPr>
        <w:t>NOW COMES [moving party designation, e.g., Plaintiff], by and through [his or her or its] attorney, and moves this court for summary disposition in [his or her or its] favor pursuant to MCR 2.116,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court should enter summary disposition of this action in favor of [moving party designation, e.g., Plaintiff] under MCR 2.116(C)(10) because, as further explained in the brief and affidavit(s) accompanying this motion, there is no genuine issue as to any material fact and [moving party, e.g., Plaintiff] is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Specifically, as set forth in the accompanying affidavit(s) and brief, there is no genuine issue of material fact as to the following issues in this case: [list each issue in case as to which there is no genuine issue of material fact, using subparagraphs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affidavit(s) of [name(s)],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[moving party, e.g., Plaintiff] certifies that [he or she] has [made personal contact with counsel for (opposing party, e.g., Defendant) on (date), requesting concurrence in the relief sought by this motion and that concurrence has been denied or made reasonable and diligent attempts to contact counsel requesting concurrence in the relief sought with this motion].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[moving party, e.g., Plaintiff] requests that the court grant this motion for summary disposition and enter judgment in [his or her or its favor], award costs sustained in this action, and grant [moving party, e.g., Plaintiff] such other and further relief as the court may deem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e.g., Plaintiff]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200" w:after="0" w:line="260" w:lineRule="exact"/>
        <w:ind w:left="720" w:right="0" w:firstLine="0"/>
        <w:jc w:val="both"/>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