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Summary Disposition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DEFENDANT'S MOTION FOR SUMMARY DISPOSITION – LACK OF SUBJECT MATTER JURISDICTION</w:t>
      </w:r>
    </w:p>
    <w:p>
      <w:pPr>
        <w:keepNext w:val="0"/>
        <w:spacing w:before="200" w:after="0" w:line="260" w:lineRule="exact"/>
        <w:ind w:left="720" w:right="0" w:firstLine="0"/>
        <w:jc w:val="both"/>
      </w:pPr>
      <w:r>
        <w:rPr>
          <w:rFonts w:ascii="Times New Roman" w:hAnsi="Times New Roman" w:eastAsia="Times New Roman" w:cs="Times New Roman"/>
          <w:b w:val="0"/>
          <w:sz w:val="24"/>
        </w:rPr>
        <w:t>NOW COMES Defendant, by and through [his or her or its] attorney, and moves this Court for summary disposition in Defendant's favor based on lack of subject matter jurisdiction pursuant to MCR 2.116(C)(4),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lacks subject matter jurisdiction over this action because, as shown by the affidavits filed in support of this motion and further explained by the accompanying brief, [state reason that case is not within court's jurisdiction, e.g., this action seeks damages and equitable relief for alleged patent infringement and therefore is within the exclusive jurisdiction of the federal courts under 28 U.S.C. § 1338(</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 of [affiant name],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by this motion and that concurrence has been denied or made reasonable and diligent attempts to contact counsel requesting concurrence in the relief sought with this motion].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Defendant requests that the court grant this motion for summary disposition, dismiss this action as to Defendant with prejudice, and grant Defendant such other and further relief as may be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Date: [date of motion]</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200" w:after="0" w:line="260" w:lineRule="exact"/>
        <w:ind w:left="720" w:right="0" w:firstLine="0"/>
        <w:jc w:val="both"/>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