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Summary Judgment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/>
          <w:sz w:val="24"/>
        </w:rPr>
        <w:t xml:space="preserve"> Antitrust Case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Defendant’s Notice of Motion and Motion for Summary Judgment on [cause of action]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 OF DEFENDANT]’S NOTICE OF MOTION AND MOTION FOR SUMMARY JUDGMENT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TO ALL PARTIES AND THEIR ATTORNEYS OF RECORD: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on [hearing date] at [hearing time], or as soon thereafter as this matter may be heard in Courtroom [#] of the above-entitled Court, located at [address of courthouse], [name of defendant] will and hereby does move this Court, pursuant to Rule 56 of the Federal Rules of Civil Procedure,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granting summary judgment on [causes of action] in Plaintiff’s Complaint (Dkt. No. 1).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defendant] moves for summary judgment on the [cause of action(s)] for [alleged violations]. It is undisputed that plaintiff cannot establish that [name of defendant] engaged in [alleged violation], which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necessary element for [cause of action].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This Motion is based on: this Notice of Motion and Motion; the accompanying Memorandum of Points and Authorities, Statement of Undisputed Facts, Affidavits of [affiants] and all related exhibits; the pleadings and papers on file in this action; and such other argument and evidence as may be presented to the Court.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of filing]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 FOR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filing 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[name of 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