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Transfer to Court with Subject Matter Jurisdiction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MICHIGAN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[county name] COUNTY CIRCUIT COURT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DEFENDANT'S MOTION TO TRANSFER ACTION TO COURT WITH JURISDICTION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NOW COMES Defendant, by and through [his or her or its] attorney, and moves this Court to transfer this action for lack of jurisdiction pursuant to MCR 2.227 and states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moves this Court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to transfer this action to the [specify court (e.g., District Court for the 36th Judicial District)].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motion is made on the ground that this Court lacks jurisdiction of the subject matter of this action, and that the [specify court (e.g., District Court for the 36th Judicial District)] would have jurisdiction and would be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action.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motion is based on the pleadings filed in this action, the accompanying affidavit of [affiant name], the accompanying brief, the Court's file and record of this action, and any evidence that may be presented at the hearing on the motion.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 respectfully requests that the court grant this motion and transfer this action to the [specify court, e.g., District Court for the 36th Judicial District], and that the court grant Defendant such other and further relief as may be appropriate.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 of motion]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[law firm name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 [defendant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state bar number, address,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BRIEF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 supporting brief; see MCR 2.119(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)(2)]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[Attach supporting affidavit; see MCR 2.119(B)]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HEARING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 notice of hearing; see MCR 2.119(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)(3)]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PROOF OF SERVICE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person serving motion] states that on [date of service], [he or she] served [name of opposing counsel], opposing counsel, with the above documents via [method of service].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 declare under the penalty of perjury that the above statements are true to the best of my knowledge, information, and belief.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person serving motion)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person serving motion]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