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Appoint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Equity Committee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[EQUITY HOLDER'S NAME OR AD HOC COMMITTEE]'S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MOTION FOR ORDER DIRECTING THE APPOINTMENT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OFFICIAL COMMITTEE OF EQUITY SECURITY HOLDERS</w:t>
      </w:r>
    </w:p>
    <w:p>
      <w:pPr>
        <w:keepNext w:val="0"/>
        <w:spacing w:before="200" w:after="0" w:line="260" w:lineRule="exact"/>
        <w:ind w:left="720" w:right="0" w:firstLine="0"/>
        <w:jc w:val="both"/>
      </w:pPr>
      <w:r>
        <w:rPr>
          <w:rFonts w:ascii="Times New Roman" w:hAnsi="Times New Roman" w:eastAsia="Times New Roman" w:cs="Times New Roman"/>
          <w:b w:val="0"/>
          <w:sz w:val="24"/>
        </w:rPr>
        <w:t>[Name] [(the "</w:t>
      </w:r>
      <w:r>
        <w:rPr>
          <w:rFonts w:ascii="Times New Roman" w:hAnsi="Times New Roman" w:eastAsia="Times New Roman" w:cs="Times New Roman"/>
          <w:b w:val="0"/>
          <w:sz w:val="24"/>
        </w:rPr>
        <w:t>Movant</w:t>
      </w:r>
      <w:r>
        <w:rPr>
          <w:rFonts w:ascii="Times New Roman" w:hAnsi="Times New Roman" w:eastAsia="Times New Roman" w:cs="Times New Roman"/>
          <w:b w:val="0"/>
          <w:sz w:val="24"/>
        </w:rPr>
        <w:t>")], by and through its undersigned counsel, hereby files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 1102(</w:t>
      </w:r>
      <w:r>
        <w:rPr>
          <w:rFonts w:ascii="Times New Roman" w:hAnsi="Times New Roman" w:eastAsia="Times New Roman" w:cs="Times New Roman"/>
          <w:b/>
          <w:sz w:val="24"/>
        </w:rPr>
        <w:t>a</w:t>
      </w:r>
      <w:r>
        <w:rPr>
          <w:rFonts w:ascii="Times New Roman" w:hAnsi="Times New Roman" w:eastAsia="Times New Roman" w:cs="Times New Roman"/>
          <w:b w:val="0"/>
          <w:sz w:val="24"/>
        </w:rPr>
        <w:t>)(2)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directing the Office of the United States Trustee (the "</w:t>
      </w:r>
      <w:r>
        <w:rPr>
          <w:rFonts w:ascii="Times New Roman" w:hAnsi="Times New Roman" w:eastAsia="Times New Roman" w:cs="Times New Roman"/>
          <w:b w:val="0"/>
          <w:sz w:val="24"/>
        </w:rPr>
        <w:t>U.S. Trustee</w:t>
      </w:r>
      <w:r>
        <w:rPr>
          <w:rFonts w:ascii="Times New Roman" w:hAnsi="Times New Roman" w:eastAsia="Times New Roman" w:cs="Times New Roman"/>
          <w:b w:val="0"/>
          <w:sz w:val="24"/>
        </w:rPr>
        <w:t xml:space="preserv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committee of equity holders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Equity Committee</w:t>
      </w:r>
      <w:r>
        <w:rPr>
          <w:rFonts w:ascii="Times New Roman" w:hAnsi="Times New Roman" w:eastAsia="Times New Roman" w:cs="Times New Roman"/>
          <w:b w:val="0"/>
          <w:sz w:val="24"/>
        </w:rPr>
        <w:t>") in the cases of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In support of the Motion, the [Movant] respectfully states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720" w:right="0" w:firstLine="0"/>
        <w:jc w:val="both"/>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720" w:right="0" w:firstLine="0"/>
        <w:jc w:val="both"/>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20__]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debtor's equity]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stockholders' holdings]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the status of Chapter 11]</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debtor's value]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20__], the [Movant] requested that the U.S. Trustee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equity committee in these cases. On [Month Day, 20__], the U.S. Trustee denied the request.</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the [Movant] seeks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 1102(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Bankruptcy Code, directing the U.S. Trustee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in the Debtors' bankruptcy cases.</w:t>
      </w:r>
    </w:p>
    <w:p>
      <w:pPr>
        <w:keepNext w:val="0"/>
        <w:spacing w:before="200" w:after="0" w:line="260" w:lineRule="exact"/>
        <w:ind w:left="720" w:right="0" w:firstLine="0"/>
        <w:jc w:val="both"/>
      </w:pPr>
      <w:r>
        <w:rPr>
          <w:rFonts w:ascii="Times New Roman" w:hAnsi="Times New Roman" w:eastAsia="Times New Roman" w:cs="Times New Roman"/>
          <w:b/>
          <w:sz w:val="24"/>
        </w:rPr>
        <w:t>BASIS FOR RELIEF</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1102(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may order the appointment of, among others,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equity security holders "if necessary to assure adequate representation." 11 U.S.C. § 1102(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Section 1102 does not define "adequate representation," but cases interpreting the section have held that the court has discretion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based upon the facts of the case. Exide Techs. v. Wis. Inv. Bd., 2002 U.S. Dist. LEXIS 27210, at *5 (D. Del. Dec. 23, 2002). Courts examine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in determining whether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committee of equity holders, including: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the shares are widely held and publicly traded;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size and complexity of the Chapter 11 case;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the cost to the estate outweighs the adequate representation of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likelihood of whether the debtors are insolvent;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timing of the motion relative to the status of the Chapter 11 case;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the interests of shareholders are already represented.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See Exide, 2002 U.S. Dist. LEXIS 27210 at *4 (affirming the bankruptcy court's decision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pursuant to Section 1102(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Bankruptcy Code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analysis of various factors); see generally In re Eastman Kodak Co., 2013 Bankr. LEXIS 3325 (Bankr. S.D.N.Y. 2013); In re Nat'l R.V. Holdings, Inc., 390 B.R. 690 (Bankr. C.D. Cal. 2008); In re Kalvar Microfilm, 195 B.R. 599 (Bankr. D. Del. 1996); In re Johns-Manville Corp. 68 B.R. 155, 159 (S.D. N.Y. 1986); In re Beker Indus. Corp., 55 B.R. 945, 951 (Bankr. S.D.N.Y. 1985). "No one factor is dispositive, and the relative weight that should be afforded to the various factors depends on the circumstances of the particular reorganization case." Kalvar, 195 B.R. at 600.</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these cases, each of these factors favors establishing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Equity Committee is Necessary for Adequate Representation of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the Debtors nor the creditors' committee is representing the interests of shareholders. Courts have routinely held that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nears insolvency, the directors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to the corporation's creditors. See, e.g., In re Kingston Square Assocs., 214 B.R. 713, 735 (Bankr. S.D.N.Y. 1997) (it is "universally agreed that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approaches insolvency or actually becomes insolvent, directors' fiduciary duties expand to include general creditors"); see also In re Pilgrim's Pride Corp., 407 B.R. 211, 217-18 (Bankr. N.D. Tex. 2009) (appointing equity committee after determining the debtor was likely to prove solvent and board would not adequately protect interests of equity security holders). In bankruptcy, the directors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maximize the estate's value, but such duty does not extend to ensuring that shareholders' interests are adequately represented. As one court stated: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While it is unquestionably true that Debtors' officers and directors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maximize Debtors' estates to the benefit of shareholders as well as creditors, the reorganization process is not so simple that that ensures shareholders are adequately represented by even equity-owning management. The principal concern of Debtors and their managers . . . must be preservation of Debtors' going concern value and their successful emergence from chapter 11. That will occur through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in turn, is heavily dependent upon Debtors reaching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accord with the UCC and the Banks.</w:t>
      </w:r>
    </w:p>
    <w:p>
      <w:pPr>
        <w:keepNext w:val="0"/>
        <w:spacing w:before="200" w:after="0" w:line="260" w:lineRule="exact"/>
        <w:ind w:left="1080" w:right="0" w:firstLine="0"/>
        <w:jc w:val="center"/>
      </w:pPr>
      <w:r>
        <w:rPr>
          <w:rFonts w:ascii="Times New Roman" w:hAnsi="Times New Roman" w:eastAsia="Times New Roman" w:cs="Times New Roman"/>
          <w:b w:val="0"/>
          <w:sz w:val="24"/>
        </w:rPr>
        <w:t>*</w:t>
        <w:tab/>
        <w:t>*</w:t>
        <w:tab/>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UCC confuses management's duty to maximize estate value with the adequate representation of equity. The former function . . . does not equate to valuation for purposes of determining entitlement to treatment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w:t>
      </w:r>
    </w:p>
    <w:p>
      <w:pPr>
        <w:keepNext w:val="0"/>
        <w:spacing w:before="200" w:after="0" w:line="260" w:lineRule="exact"/>
        <w:ind w:left="1080" w:right="0" w:firstLine="0"/>
        <w:jc w:val="both"/>
      </w:pPr>
      <w:r>
        <w:rPr>
          <w:rFonts w:ascii="Times New Roman" w:hAnsi="Times New Roman" w:eastAsia="Times New Roman" w:cs="Times New Roman"/>
          <w:b w:val="0"/>
          <w:sz w:val="24"/>
        </w:rPr>
        <w:t>Pilgrim's Pride, 407 B.R. at 218 (internal citations omitted). In these cases, [add facts supporting the contention that management is not protecting shareholder value].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creditors' committee also does not owe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shareholders. Rather, the creditors' committee owes its fiduciary duties only to general unsecured creditors. See Pan Am. Corp. v. Delta Air Lines, 175 B.R. 438, 514 (S.D.N.Y. 1994) (creditors committee owes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only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of creditors, not to the debtor or any other party). Shareholders have divergent interests from the debtor's secured and unsecured creditors.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committee is more likely to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strategy that increases recovery for unsecured creditors in the short term than pursue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strategy that increases the debtor's value in the long run to the benefit of equity holders. Thus, it is not reasonable or appropriate to expect the creditors' committee to negotiate on behalf of shareholders. In these cases, the creditors' committee [add detail on the path the committee is supporting and how that path does not protect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formation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ensures that the shareholders are adequately represented during the bankruptcy proceeding. Shareholders deserve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seat at the table as these cases head [toward confirmation]. [add specific arguments concerning the need for equity committee].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are not Hopelessly Insolvent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addressing the solvency issue, courts routinely assess whether the debtor is "hopelessly insolvent." Exide, 2002 U.S. Dist. LEXIS 27210 at *4.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is marginally solvent, courts maintain that shareholders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meaningful interest in the proceeding and therefore the shareholders should be entitled to the benefit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to represent their interests, notwithstanding the cost to the estate. In re Wang Laboratories Inc., 149 B.R. 1, 3 (Bankr. D. Mass. 1992).</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question of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is "hopelessly insolvent" will not turn on whether recovery to the shareholders is guaranteed. Id. Rather, the bankruptcy court will look to certain economic indicators which may demonstrate that the shareholders may not, in fact, be "out of the money." See In re Mansfield Ferrous Castings Inc., 96 B.R. 779, 781 (Bank. N.D. Ohio 1988) (holding that insolvency does not per se prohibit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as the court will consider all of the facts of the case).</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these cases, [add facts regarding solvency and valuation]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Need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Equity Committee Outweighs the Costs to the Debtors' Estate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mentioned, the bankruptcy court weighs the need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against the additional costs to the estate. See Wang Laboratories, 149 B.R. at 4. Nevertheless, courts caution that "the potential added cost is not sufficient in itself to deprive the creditors of the formation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committee if one is otherwise appropriate." In re Interco Inc., 141 B.R. 422, 424 (Bankr. E.D. Mo. 1992); see also In re McLean Indus. Inc., 70 B.R. 852, 860 (Bankr. S.D.N.Y. 1987) ("costs alone cannot, and should not, deprive public debt and security-holders of representation"). Here, [add arguments why fees will not be large, e.g., appointed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time after the plan is filed, and summarize why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is needed (as specified in the previous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Further, Section 330 of the Bankruptcy Code ensures that the costs will remain under control. Section 330 sets forth the reasonableness standard for awarding compensation and reimbursement of expenses to committees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estate. Thus, the Court will ensure that the costs of the Equity Committee are reasonable. In addition, the Equity Committee's fees and expenses will certainly be subject to scrutiny (and potential objections) from other parties in these cases. [add specific arguments as to the reasonableness of fees.]</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sum, the need for the Equity Committee far outweighs the costs to the estate especially because such costs will be monitored, and the bankruptcy court must find any fees and expenses reasonable.</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Cases are Large and Complex</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should also be appointed because the cases are large and complex. The Debtors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complex corporate structure and all[, or substantially all,] of the [debtor name]'s affiliates filed for bankruptcy protection together. [add detail regarding the number of debtors, business operations, etc.]</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capital structure is also complex. [add detail regarding capital structure, credit facilities, etc.].</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large, complex Chapter 11 cases, official equity committees tend to be appointed where value may be available for shareholders (or the value to shareholders is indeterminable). See, e.g., In re Horsehead Holding Corp., 2016 Bankr. LEXIS 3187 (Bankr. D. Del. May 2, 2016); In re Energy XXI Ltd., Case No. 16-31928 (Bankr. S.D. Tex. 2016); In re Genco Shipping and Trading Ltd., No. 14-11108-SHL (Bankr. S.D.N.Y. May 9, 2014); In re Trident Microsystems, Inc., No. 12-10069-CSS (Bankr. D. Del. Feb. 14, 2012); In re Pilgrim's Pride Corp., 407 BR 211 (Bankr. N.D. Tex. 2009); In re Oneida Ltd., 2006 Bankr. LEXIS 780 (Bankr. S.D.N.Y. May 4, 2006); In re Loral Space &amp; Communications Ltd., Case No. 03-41710 (Bankr. S.D.N.Y. 2003); In re Mirant Corp., Case No. 03-46590 (Bankr. N.D. Texas 2003); In re Adelphia Communications Corp., Case No. 02-41729 (Bankr. S.D.N.Y. 2002).</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Request is Timely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[explain the status of the case relative to when the request was made]</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Shares are Widely Held and Publicly Traded</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 details concerning the numbers of shares and the public trading of shares]</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of the foregoing reasons, [the [shareholders] or [Ad Hoc Committee]] respectfully request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the U.S. Trustee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Committee to ensure adequate representation for the shareholders.</w:t>
      </w:r>
    </w:p>
    <w:p>
      <w:pPr>
        <w:keepNext w:val="0"/>
        <w:spacing w:before="120" w:after="0" w:line="260" w:lineRule="exact"/>
        <w:ind w:left="720" w:right="0" w:firstLine="0"/>
        <w:jc w:val="left"/>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[Movant] has provided notice of this Motion by facsimile and, where practicable, email and/or overnight mail to: [Notice Parties]. Due to the nature of the relief requested herein, the [Movant] respectfully submits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the [Movant] respectfully requests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(b) grant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