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Appoint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Examiner</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MOTION OF [MOVANT] FOR THE APPOINTMENT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EXAMINER</w:t>
      </w:r>
      <w:r>
        <w:rPr>
          <w:rFonts w:ascii="Times New Roman" w:hAnsi="Times New Roman" w:eastAsia="Times New Roman" w:cs="Times New Roman"/>
          <w:sz w:val="24"/>
        </w:rPr>
        <w:br/>
      </w:r>
      <w:r>
        <w:rPr>
          <w:rFonts w:ascii="Times New Roman" w:hAnsi="Times New Roman" w:eastAsia="Times New Roman" w:cs="Times New Roman"/>
          <w:b/>
          <w:sz w:val="24"/>
        </w:rPr>
        <w:t>PURSUANT TO SECTION 1104(c) OF THE BANKRUPTCY CODE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[(the "Movant")], by and through its undersigned counsel, hereby files this motion (the "Motion")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pursuant to Section 1104(c) of title 11 of the United States Code (the "Bankruptcy Code"), for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in the bankruptcy cases of the above-captioned debtors and debtors in possession (collectively, the "Debtors"). In support of this Motion, [Movant] respectfully represents as follows:</w:t>
      </w: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200" w:after="0" w:line="260" w:lineRule="exact"/>
        <w:ind w:left="360" w:right="0" w:firstLine="0"/>
        <w:jc w:val="both"/>
      </w:pPr>
      <w:r>
        <w:rPr>
          <w:rFonts w:ascii="Times New Roman" w:hAnsi="Times New Roman" w:eastAsia="Times New Roman" w:cs="Times New Roman"/>
          <w:b/>
          <w:sz w:val="24"/>
        </w:rPr>
        <w:t>JURISDICTION AND VENUE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200" w:after="0" w:line="260" w:lineRule="exact"/>
        <w:ind w:left="360" w:right="0" w:firstLine="0"/>
        <w:jc w:val="both"/>
      </w:pPr>
      <w:r>
        <w:rPr>
          <w:rFonts w:ascii="Times New Roman" w:hAnsi="Times New Roman" w:eastAsia="Times New Roman" w:cs="Times New Roman"/>
          <w:b/>
          <w:sz w:val="24"/>
        </w:rPr>
        <w:t>BACKGROUND</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and 1108 of the Bankruptcy Code. No trustee or examiner has been appointed.</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[explain the relationship with debtor].</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[add facts supporting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[explain the status of the bankruptcy case]</w:t>
      </w:r>
    </w:p>
    <w:p>
      <w:pPr>
        <w:keepNext w:val="0"/>
        <w:spacing w:before="200" w:after="0" w:line="260" w:lineRule="exact"/>
        <w:ind w:left="360" w:right="0" w:firstLine="0"/>
        <w:jc w:val="both"/>
      </w:pPr>
      <w:r>
        <w:rPr>
          <w:rFonts w:ascii="Times New Roman" w:hAnsi="Times New Roman" w:eastAsia="Times New Roman" w:cs="Times New Roman"/>
          <w:b/>
          <w:sz w:val="24"/>
        </w:rPr>
        <w:t>RELIEF REQUESTED</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By this Motion, [Movant] seeks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Section 1104(c) of the Bankruptcy Code for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in the Debtors' bankruptcy cases [to investigate and report on [detail]].</w:t>
      </w:r>
    </w:p>
    <w:p>
      <w:pPr>
        <w:keepNext w:val="0"/>
        <w:spacing w:before="200" w:after="0" w:line="260" w:lineRule="exact"/>
        <w:ind w:left="360" w:right="0" w:firstLine="0"/>
        <w:jc w:val="both"/>
      </w:pPr>
      <w:r>
        <w:rPr>
          <w:rFonts w:ascii="Times New Roman" w:hAnsi="Times New Roman" w:eastAsia="Times New Roman" w:cs="Times New Roman"/>
          <w:b/>
          <w:sz w:val="24"/>
        </w:rPr>
        <w:t>BASIS FOR RELIEF</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Section 1104(c) governs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and provides: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 If the court does not order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under this section, then at any time before the confirmation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on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interest or the United States trustee, and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the court shall order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to conduct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of the debtor as is appropriate,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of any allegations of fraud, dishonesty, incompetence, misconduct, mismanagement, or irregularity in the management of the affairs of the debtor of or by current or former management of the debtor, if—</w:t>
      </w:r>
    </w:p>
    <w:p>
      <w:pPr>
        <w:keepNext w:val="0"/>
        <w:spacing w:before="200" w:after="0" w:line="260" w:lineRule="exact"/>
        <w:ind w:left="360" w:right="0" w:firstLine="0"/>
        <w:jc w:val="both"/>
      </w:pPr>
      <w:r>
        <w:rPr>
          <w:rFonts w:ascii="Times New Roman" w:hAnsi="Times New Roman" w:eastAsia="Times New Roman" w:cs="Times New Roman"/>
          <w:b w:val="0"/>
          <w:sz w:val="24"/>
        </w:rPr>
        <w:t>(1) such appointment is in the interests of creditors, any equity security holders, and other interests of the estate; or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(2) the debtor's fixed, liquidated, unsecured debts, other than debts for goods, services, or taxes, or owing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insider, exceed $5,000,000.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11 U.S.C. § 1104(c). Under the statute,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is required when the following four factors are satisfied: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has not been appointed (i.e., the debtor is still in possession of the estate),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has not been confirmed, (3)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interest or the U.S. Trustee has requested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and (4) the conditions contained in subsection (c)(1) or (c)(2) have been satisfied – either (i) the appointment of the examiner is in the best interests of the creditors of the estate or (ii) the specified fixed, liquidated, unsecured debts exceed $5 million. Here, the first three factors are clearly satisfied (i.e.,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has not been appointed,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has not been confirmed, and [Movant] has requested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The fourth factor is also satisfied under either subsection (c)(1) or (c)(2). As discussed below, the Debtors' fixed, liquidated, unsecured debts easily exceed $5 million and the appointment of the examiner is also in the best interests of the creditors of the estate.</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Section 1104(c)(2) Mandates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Under Section 1104(c)(2), the majority of courts hold that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is </w:t>
      </w:r>
      <w:r>
        <w:rPr>
          <w:rFonts w:ascii="Times New Roman" w:hAnsi="Times New Roman" w:eastAsia="Times New Roman" w:cs="Times New Roman"/>
          <w:b w:val="0"/>
          <w:sz w:val="24"/>
        </w:rPr>
        <w:t>required</w:t>
      </w:r>
      <w:r>
        <w:rPr>
          <w:rFonts w:ascii="Times New Roman" w:hAnsi="Times New Roman" w:eastAsia="Times New Roman" w:cs="Times New Roman"/>
          <w:b w:val="0"/>
          <w:sz w:val="24"/>
        </w:rPr>
        <w:t xml:space="preserv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fixed, liquidated, unsecured debts (other than the listed excluded debts) exceed $5 million. In re Revco D.S., Inc., 898 F.2d 498, 501 (6th Cir. 1990) ("[w]hen the total 'fixed, liquidated, unsecured' debt is greater than $ 5 million, the statute requires the court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Walton v. Cornerstone Ministries Invs., Inc., 398 B.R. 77, 81 (N.D. Ga. 2008); Loral Stockholders Protective Comm. v. Loral Space &amp; Communs., Ltd. (In re Loral Space &amp; Communs., Ltd.), 2004 U.S. Dist. LEXIS 25681, at *12-13 (S.D.N.Y. Dec. 23, 2004); In re Schepps Food Stores, 148 B.R. 27, 30 (S.D. Tex. 1992); In re Vision Dev. Grp. of Broward Cty., LLC, 2008 Bankr. LEXIS 2178, at *8 (Bankr. S.D. Fla. June 30, 2008); In re UAL Corp., 307 B.R. 80, 85 (Bankr. N.D. Ill. 2004).</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plain meaning of the statute supports this conclusion – "the court </w:t>
      </w:r>
      <w:r>
        <w:rPr>
          <w:rFonts w:ascii="Times New Roman" w:hAnsi="Times New Roman" w:eastAsia="Times New Roman" w:cs="Times New Roman"/>
          <w:b w:val="0"/>
          <w:sz w:val="24"/>
        </w:rPr>
        <w:t>shall</w:t>
      </w:r>
      <w:r>
        <w:rPr>
          <w:rFonts w:ascii="Times New Roman" w:hAnsi="Times New Roman" w:eastAsia="Times New Roman" w:cs="Times New Roman"/>
          <w:b w:val="0"/>
          <w:sz w:val="24"/>
        </w:rPr>
        <w:t xml:space="preserve"> order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to conduct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of the debtor as is appropriate …if … the debtor's fixed, liquidated, unsecured debts … exceed $5,000,000." 11 U.S.C. § 1104(c)(2) (emphasis added); Revco D.S., Inc., 898 F.2d at 501 ("[t]he provision plainly means that the bankruptcy court 'shall' order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when the total fixed, liquidated, unsecured debt exceeds $ 5 million"); Walton, 398 B.R. at 81 ("[o]n its face, the statute appears to require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if certain requirements are met").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plain meaning of the statute is also readily apparent when comparing Section 1104(c)(1) and Section 1104(c)(2). Section 1104(c)(1) gives the court discretion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in cases with less than $5 million in fixed debt, as long as the appointment is in the interests of the estate.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also has discretion to deny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in cases with over $5 million in fixed debt, then the distinction drawn by Congress between Section 1104(c)(1) and Section 1104(c)(2) becomes meaningless. Revco, 898 F.2d at 501 ("[u]nless [Section 1104(c)(2)] requires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it becomes indistinguishable from [Section 1104(c)(1)]"); Schepps, 148 B.R. at 30 ("[t]o find discretion in this provision, one would have to slight the word 'shall' and ignore the contrast between the adjacent clauses"); UAL, 307 B.R. at 85 n.2 ("if paragraph (c)(2) were not mandatory, then § 1104(c) would have the following meaning: 'If specified debt is less than $ 5 million, it is in the court's discretion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and if specified debt is more than $ 5 million, it is in the court's discretion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Even though appointment is mandatory, bankruptcy courts still have "discretion to limit the scope of the examiner's investigation and the compensation and expenses available to the examiner" (thereby preventing abuse). Loral Space, 2004 U.S. Dist. LEXIS 25681, at *12-13.</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Here, the Debtors unquestionably have fixed, liquidated, unsecured debts well in excess of $5 million. [if necessary, add specific detail]. Thus,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is required under Section 1104(c)(2).</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the aforementioned reasons, [Movant] submits that the majority position is correct and should, therefore, be applied to this case. However,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is also warranted under the minority approach. Courts that follow this approach will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under Section 1104(c)(2) if the court finds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investigation needs to be conducted. In re Residential Capital, LLC, 474 B.R. 112, 121 (Bankr. S.D.N.Y. 2012) (in addition to the $5 million requirement, the court will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when "the facts and circumstances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do not render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inappropriate"). Courts adopting the discretionary approach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factors in determining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investigation needs to be conducted, including whether: (1) there has been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already conducted by other parties, (2) the increase in costs and any delay resulting from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has corresponding benefits, and (3) the underlying motives of the movant's request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litigation tactic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attempt to gain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advantage. U.S. Bank Nat'l Assoc. v. Wilmington Trust Co. (In re Spansion, Inc.), 426 B.R. 114, 128 (Bankr. D. Del. 2010).</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is clearly appropriate in this case. [add argument]. [There is also [no pending or completed] investigation of the debtor]. [add detail].</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argument that motive is proper and the appointment will not delay the case].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Appointment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Examiner Is Also Warranted Under Section 1104(c)(1)</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under Section 1104(c)(1) is also appropriate because the appointment would benefit all creditors. Section 1104(c)(1) provides that the court shall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to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of the debtor as is appropriate if the appointment "is in the interests of creditors, any equity security holders, and other interests of the estate." 11 U.S.C. § 1104(c)(1). "In exercising its discretion under this subsection the Court must determine whether the creditors and equity security holders would be served by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and whether the costs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are not disproportionately high."  In re Gilman Servs., Inc., 46 B.R. 322, 327 (Bankr. D. Mass. 1985).</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Under these circumstances, it is imperative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neutral party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into the Debtors' activities. [add reasons]. Furthermore, the benefits to the estate far outweigh the costs to the estate. See In re ProFlo Indus., LLC, 2018 Bankr. LEXIS 229, at *25 (Bankr. N.D. Ohio Jan. 29, 2018) ("[u]nlike the substantial cost to Debtor of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the cost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for this limited purpose is not disproportionately high compared to the potential benefit, particularly in the absence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creditors' committee from this case"). [add argument].</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the fact that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committee of unsecured creditors does not change the need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in these cases. Although official committees of unsecured creditors may take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investigatory role, committees have their own constituents with their own agenda and are generally better equipped to oversee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operations than conduct this type of investigation. As one court stated,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creditors' committee is well suited to overseeing the operations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especially the financial and economic aspects of the debtor's operations, the examiner is far better able to undertake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in-depth investigation,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function warranted by the facts presented here." In re 1243 20th St., Inc., 6 B.R. 683, 686 (Bankr. D.D.C. 1980); accord In re Keene Corp., 164 B.R. 844, 856 (Bankr. S.D.N.Y. 1994). "The benefit of appointing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examiner is that he or she will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objective nonadversarial party who will review the pertinent transactions and documents, thereby allowing the parties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determination as to their substantive rights." In re FiberMark, Inc., 339 B.R. 321, 325 (Bankr. D. Vt. 2006).</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Here, [include arguments as to why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as opposed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should conduct the investigation].</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sum,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is in the best interest of creditors under Section 1104(c)(1).</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Examiner's Investigation</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[Movant] requests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to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of [detail the specific items to be investigated].</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examiner should be permitted to retain counsel and any other advisors necessary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examination. The professionals' retention and compensation should be subject to Court approval pursuant to Sections 327 and 330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examiner should also be required to propose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plan. The work plan should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estimated budget of the costs and expenses of the examiner's investigation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timeline for requesting and obtaining information from the Debtors and other parties and conducting the investigation. Parties in interest should be provided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be heard on the proposed work plan.</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reasons set forth above, [Movant] respectfully submit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should be appointed to investigate and report on the matters set forth herein.</w:t>
      </w:r>
    </w:p>
    <w:p>
      <w:pPr>
        <w:keepNext w:val="0"/>
        <w:spacing w:before="120" w:after="0" w:line="260" w:lineRule="exact"/>
        <w:ind w:left="360" w:right="0" w:firstLine="0"/>
        <w:jc w:val="left"/>
      </w:pPr>
      <w:r>
        <w:rPr>
          <w:rFonts w:ascii="Times New Roman" w:hAnsi="Times New Roman" w:eastAsia="Times New Roman" w:cs="Times New Roman"/>
          <w:b/>
          <w:sz w:val="24"/>
        </w:rPr>
        <w:t>PROCEDURE</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[Movant] has provided notice of this Motion by facsimile and, where practicable, email and/or overnight mail to: [Notice Parties]. Due to the nature of the relief requested herein, [Movant] respectfully submits that no further notice of this Motion is required.</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[Movant] respectfully requests that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herein; and (b) grant such other and further relief as the Court deems appropriate.</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200" w:after="0" w:line="260" w:lineRule="exact"/>
        <w:ind w:left="720" w:right="0" w:firstLine="0"/>
        <w:jc w:val="both"/>
      </w:pPr>
      <w:r>
        <w:rPr>
          <w:rFonts w:ascii="Times New Roman" w:hAnsi="Times New Roman" w:eastAsia="Times New Roman" w:cs="Times New Roman"/>
          <w:b w:val="0"/>
          <w:sz w:val="24"/>
        </w:rPr>
        <w:t>[city, state]</w:t>
      </w:r>
    </w:p>
    <w:p>
      <w:pPr>
        <w:keepNext w:val="0"/>
        <w:spacing w:before="120" w:after="0" w:line="260" w:lineRule="exact"/>
        <w:ind w:left="720" w:right="0" w:firstLine="0"/>
        <w:jc w:val="left"/>
      </w:pPr>
      <w:r>
        <w:rPr>
          <w:rFonts w:ascii="Times New Roman" w:hAnsi="Times New Roman" w:eastAsia="Times New Roman" w:cs="Times New Roman"/>
          <w:b w:val="0"/>
          <w:sz w:val="24"/>
        </w:rPr>
        <w:t>[Law firm]</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[fax]</w:t>
      </w:r>
    </w:p>
    <w:p>
      <w:pPr>
        <w:keepNext w:val="0"/>
        <w:spacing w:before="120" w:after="0" w:line="260" w:lineRule="exact"/>
        <w:ind w:left="72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