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Approve Key Employee Incentive and Retention Plans</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MOTION OF THE DEBTORS AND DEBTORS-IN-POSSESSION  FOR 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(I) AUTHORIZING THE DEBTORS  TO IMPLEMENT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KEY EMPLOYEE INCENTIVE PLAN AND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KEY  EMPLOYEE RETENTION PLAN AND (II) GRANTING RELATED RELIEF</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pursuant to sections 363(b)[, 363(c)] and 503(c)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authorizing the Debtors to implement the key employee incentive plan [attached hereto as Exhibit B] (the "</w:t>
      </w:r>
      <w:r>
        <w:rPr>
          <w:rFonts w:ascii="Times New Roman" w:hAnsi="Times New Roman" w:eastAsia="Times New Roman" w:cs="Times New Roman"/>
          <w:b w:val="0"/>
          <w:sz w:val="24"/>
        </w:rPr>
        <w:t>KEIP</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employee retention plan [attached hereto as Exhibit C] (the "</w:t>
      </w:r>
      <w:r>
        <w:rPr>
          <w:rFonts w:ascii="Times New Roman" w:hAnsi="Times New Roman" w:eastAsia="Times New Roman" w:cs="Times New Roman"/>
          <w:b w:val="0"/>
          <w:sz w:val="24"/>
        </w:rPr>
        <w:t>KERP</w:t>
      </w:r>
      <w:r>
        <w:rPr>
          <w:rFonts w:ascii="Times New Roman" w:hAnsi="Times New Roman" w:eastAsia="Times New Roman" w:cs="Times New Roman"/>
          <w:b w:val="0"/>
          <w:sz w:val="24"/>
        </w:rPr>
        <w:t>") and (ii) granting related relief. In support of the Motion, the Debtors respectfully state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 preliminary statement]</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over this matter pursuant to 28 U.S.C. §§ 157 and 1334. Venue of these cases and this Motion in this District is proper pursuant to 28 U.S.C. §§ 1408 and 1409.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157(b)(2).</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legal predicates for the relief requested herein are sections 363(b)[, 363(c),] and 503(c) of the Bankruptcy Code.</w:t>
      </w:r>
    </w:p>
    <w:p>
      <w:pPr>
        <w:keepNext w:val="0"/>
        <w:spacing w:before="120" w:after="0" w:line="260" w:lineRule="exact"/>
        <w:ind w:left="72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each of the Debtors filed with this Court voluntary petitions for relief under chapter 11 of the Bankruptcy Code. The Debtors continue to manage their properties and operate their business as debtors-in-possession pursuant to sections 1107 and 1108 of the Bankruptcy Code.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[generally describe the debtor's business and the status of the bankruptcy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Development of the KEIP and the KERP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the development of the KEIP (including, why incentives are needed) and the KERP (including, why retention payments are needed).]</w:t>
      </w:r>
    </w:p>
    <w:p>
      <w:pPr>
        <w:keepNext w:val="0"/>
        <w:spacing w:before="120" w:after="0" w:line="260" w:lineRule="exact"/>
        <w:ind w:left="720" w:right="0" w:firstLine="0"/>
        <w:jc w:val="left"/>
      </w:pPr>
      <w:r>
        <w:rPr>
          <w:rFonts w:ascii="Times New Roman" w:hAnsi="Times New Roman" w:eastAsia="Times New Roman" w:cs="Times New Roman"/>
          <w:b/>
          <w:sz w:val="24"/>
        </w:rPr>
        <w:t>The KEIP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Terms of the KEIP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KEIP is designed to incentivize the Debtors' key executives (the "</w:t>
      </w:r>
      <w:r>
        <w:rPr>
          <w:rFonts w:ascii="Times New Roman" w:hAnsi="Times New Roman" w:eastAsia="Times New Roman" w:cs="Times New Roman"/>
          <w:b w:val="0"/>
          <w:sz w:val="24"/>
        </w:rPr>
        <w:t>Key Executives</w:t>
      </w:r>
      <w:r>
        <w:rPr>
          <w:rFonts w:ascii="Times New Roman" w:hAnsi="Times New Roman" w:eastAsia="Times New Roman" w:cs="Times New Roman"/>
          <w:b w:val="0"/>
          <w:sz w:val="24"/>
        </w:rPr>
        <w:t xml:space="preserve">") to [maximize the value of the estate].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material terms of the KEIP is set forth below.</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 paragraphs describing the terms of the KEIP].</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KEIP Participants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 paragraphs describing the Key Executives, including their titles, responsibilities, challenges they will face in achieving the metrics, and why they are critical to the business.]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Terms of the KEIP are Reasonable </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 paragraphs explaining the reasonableness of the KEIP.]</w:t>
      </w:r>
    </w:p>
    <w:p>
      <w:pPr>
        <w:keepNext w:val="0"/>
        <w:spacing w:before="120" w:after="0" w:line="260" w:lineRule="exact"/>
        <w:ind w:left="720" w:right="0" w:firstLine="0"/>
        <w:jc w:val="left"/>
      </w:pPr>
      <w:r>
        <w:rPr>
          <w:rFonts w:ascii="Times New Roman" w:hAnsi="Times New Roman" w:eastAsia="Times New Roman" w:cs="Times New Roman"/>
          <w:b/>
          <w:sz w:val="24"/>
        </w:rPr>
        <w:t>The KERP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Terms of the KERP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KERP is designed to encourage the Debtors' key employees (the "</w:t>
      </w:r>
      <w:r>
        <w:rPr>
          <w:rFonts w:ascii="Times New Roman" w:hAnsi="Times New Roman" w:eastAsia="Times New Roman" w:cs="Times New Roman"/>
          <w:b w:val="0"/>
          <w:sz w:val="24"/>
        </w:rPr>
        <w:t>Key Employees</w:t>
      </w:r>
      <w:r>
        <w:rPr>
          <w:rFonts w:ascii="Times New Roman" w:hAnsi="Times New Roman" w:eastAsia="Times New Roman" w:cs="Times New Roman"/>
          <w:b w:val="0"/>
          <w:sz w:val="24"/>
        </w:rPr>
        <w:t xml:space="preserve">") to remain with the Debtors.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material terms of the KERP is set forth below. </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 paragraphs describing the terms of the KERP].</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KERP Participants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 paragraphs describing the Key Employees generally, including their titles and responsibilities generally, and why they are critical to the business.]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Terms of the KERP are Reasonable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 paragraphs explaining the reasonableness of the KERP].</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sections 363(b) [, 363(c),] and 503(c) of the Bankruptcy Code, the Debtors seek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approving the KEIP and the KERP.</w:t>
      </w:r>
    </w:p>
    <w:p>
      <w:pPr>
        <w:keepNext w:val="0"/>
        <w:spacing w:before="120" w:after="0" w:line="260" w:lineRule="exact"/>
        <w:ind w:left="72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of the KEIP is Appropriate Pursuant to Sections 363(b)(1) and 503(c)(3) of the Bankruptcy Code.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Sections 363(b) and 503(c) of the Bankruptcy Code govern court approval of non-ordinary course of business employee incentive and retention plans. 11 U.S.C. §§ 363(b), 503(c). Pursuant to section 363(b)(1) of the Bankruptcy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may use, sell or lease, other than in the ordinary course of business, property of the estate." 11 U.S.C. § 363(b)(1).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must demonstrate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purpose justifies such actions." In re Montgomery Ward Holding Corp., 242 B.R. 147, 153 (D. Del. 1999). Under section 363(b),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the burden to establish it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business purpose for using estate property outside the ordinary course of business. In re Lionel Corp., 722 F.2d 1063, 1070–71 (2d Cir. 1983). Once the debtor has articulated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business purpose,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arises that the debtor's decision was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basis, in good faith, and in the honest belief that the action was in the debtor's best interest. In re Integrated Resources, Inc., 147 B.R. 650, 656 (S.D.N.Y. 1992).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seeking to challenge the debtor's valid business purpose must "produce some evidence supporting its objections." Montgomery Ward, 242 B.R. at 155.</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503(c)(3) prohibits "other transfers or obligations that are outside the ordinary course of business and not justified by the facts and circumstances of the case, including transfers made to, or obligations incurred for the benefit of, officers, managers, or consultants hired after the date of the filing of the petition." 11 U.S.C. § 503(c)(3). Section 503(c)(3) prohibits non-ordinary course of business transactions that are not justified by the facts and circumstances of the case. Many courts have noted that the section 503(c)(3) test is akin to the business judgment test of section 363. "Most bankruptcy courts that have considered the issue have concluded that [section 503(c)] adds nothing to the preexisting business judgment standard, and therefore regardless of Section 503(c)(3), the business judgment standard controls." In re FirstEnergy Sols. Corp., 591 B.R. 688, 695 (Bankr. N.D. Ohio 2018); In re Borders Grp., Inc., 453 B.R. 459, 474 (Bankr. S.D.N.Y. 2011) ("Since the legal standard under section 363(b) is no different than section 503(c)(3), the following analysis is equally applicable to both statutory provisions."). Other courts, however, believe that section 503(c)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stricter standard. GT Advanced Techs., Inc. v. Harrington, 2015 U.S. Dist. LEXIS 94743 (D.N.H. July 21, 2015) ("This court is persuaded by </w:t>
      </w:r>
      <w:r>
        <w:rPr>
          <w:rFonts w:ascii="Times New Roman" w:hAnsi="Times New Roman" w:eastAsia="Times New Roman" w:cs="Times New Roman"/>
          <w:b w:val="0"/>
          <w:sz w:val="24"/>
        </w:rPr>
        <w:t>Pilgrim's Pride</w:t>
      </w:r>
      <w:r>
        <w:rPr>
          <w:rFonts w:ascii="Times New Roman" w:hAnsi="Times New Roman" w:eastAsia="Times New Roman" w:cs="Times New Roman"/>
          <w:b w:val="0"/>
          <w:sz w:val="24"/>
        </w:rPr>
        <w:t xml:space="preserve"> [In re Pilgrim's Pride Corp., 401 B.R. 229, 237 (Bankr. N.D. Tex. 2009)] that 11 U.S.C. § 503(c)(3) directs courts to give more scrutiny to the business judgment of debtors than is permitted under the § 363(b)(1) business judgment test").</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assessing whether the debtor has demonstrated sound business judgments, courts look to the following factors set forth in In re Dana Corp., 358 B.R. 567, 576-77 (Bankr. S.D.N.Y. 2006):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relationship between the plan proposed and the results to be obtained (i.e., will the key employee stay for as long as it takes for the debtor to reorganize or market its assets,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incentive, is the plan calculated to achieve the desired performance)?</w:t>
      </w:r>
    </w:p>
    <w:p>
      <w:pPr>
        <w:keepNext w:val="0"/>
        <w:spacing w:before="200" w:after="0" w:line="260" w:lineRule="exact"/>
        <w:ind w:left="1800" w:right="0" w:firstLine="0"/>
        <w:jc w:val="both"/>
      </w:pPr>
      <w:r>
        <w:rPr>
          <w:rFonts w:ascii="Times New Roman" w:hAnsi="Times New Roman" w:eastAsia="Times New Roman" w:cs="Times New Roman"/>
          <w:b w:val="0"/>
          <w:sz w:val="24"/>
        </w:rPr>
        <w:t>- Is the cost of the plan reasonable in the context of the debtor's assets, liabilities and earning potential?</w:t>
      </w:r>
    </w:p>
    <w:p>
      <w:pPr>
        <w:keepNext w:val="0"/>
        <w:spacing w:before="200" w:after="0" w:line="260" w:lineRule="exact"/>
        <w:ind w:left="1800" w:right="0" w:firstLine="0"/>
        <w:jc w:val="both"/>
      </w:pPr>
      <w:r>
        <w:rPr>
          <w:rFonts w:ascii="Times New Roman" w:hAnsi="Times New Roman" w:eastAsia="Times New Roman" w:cs="Times New Roman"/>
          <w:b w:val="0"/>
          <w:sz w:val="24"/>
        </w:rPr>
        <w:t>- Is the scope of the plan fair and reasonable; does it apply to all employees; does it discriminate unfairly?</w:t>
      </w:r>
    </w:p>
    <w:p>
      <w:pPr>
        <w:keepNext w:val="0"/>
        <w:spacing w:before="200" w:after="0" w:line="260" w:lineRule="exact"/>
        <w:ind w:left="1800" w:right="0" w:firstLine="0"/>
        <w:jc w:val="both"/>
      </w:pPr>
      <w:r>
        <w:rPr>
          <w:rFonts w:ascii="Times New Roman" w:hAnsi="Times New Roman" w:eastAsia="Times New Roman" w:cs="Times New Roman"/>
          <w:b w:val="0"/>
          <w:sz w:val="24"/>
        </w:rPr>
        <w:t>- Is the plan or proposal consistent with industry standards?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What were the due diligence efforts of the debtor in investigating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analyzing which key employees need to be incentivized; what is available; what is generally applicable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industry?</w:t>
      </w:r>
    </w:p>
    <w:p>
      <w:pPr>
        <w:keepNext w:val="0"/>
        <w:spacing w:before="200" w:after="0" w:line="260" w:lineRule="exact"/>
        <w:ind w:left="1800" w:right="0" w:firstLine="0"/>
        <w:jc w:val="both"/>
      </w:pPr>
      <w:r>
        <w:rPr>
          <w:rFonts w:ascii="Times New Roman" w:hAnsi="Times New Roman" w:eastAsia="Times New Roman" w:cs="Times New Roman"/>
          <w:b w:val="0"/>
          <w:sz w:val="24"/>
        </w:rPr>
        <w:t>- Did the debtor receive independent counsel in performing due diligence and in creating and authorizing the incentive compensation?</w:t>
      </w:r>
    </w:p>
    <w:p>
      <w:pPr>
        <w:keepNext w:val="0"/>
        <w:spacing w:before="200" w:after="0" w:line="260" w:lineRule="exact"/>
        <w:ind w:left="1800" w:right="0" w:firstLine="0"/>
        <w:jc w:val="both"/>
      </w:pPr>
      <w:r>
        <w:rPr>
          <w:rFonts w:ascii="Times New Roman" w:hAnsi="Times New Roman" w:eastAsia="Times New Roman" w:cs="Times New Roman"/>
          <w:b w:val="0"/>
          <w:sz w:val="24"/>
        </w:rPr>
        <w:t>In re Dana Corp., 358 B.R. 567, 576-77 (Bankr. S.D.N.Y. 2006).</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Court should approve the KEIP and the KERP pursuant to sections 363(b) and 503(c)(3) of the Bankruptcy Code because both plans are justified by the facts and circumstances of these cases and satisfy the business judgment test (even under the stricter standard).</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factors cited by the court in </w:t>
      </w:r>
      <w:r>
        <w:rPr>
          <w:rFonts w:ascii="Times New Roman" w:hAnsi="Times New Roman" w:eastAsia="Times New Roman" w:cs="Times New Roman"/>
          <w:b w:val="0"/>
          <w:sz w:val="24"/>
        </w:rPr>
        <w:t>Dana</w:t>
      </w:r>
      <w:r>
        <w:rPr>
          <w:rFonts w:ascii="Times New Roman" w:hAnsi="Times New Roman" w:eastAsia="Times New Roman" w:cs="Times New Roman"/>
          <w:b w:val="0"/>
          <w:sz w:val="24"/>
        </w:rPr>
        <w:t>, weigh heavily in favor of Court approval of the KEIP and KERP.</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KEIP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Exercise of Sound Business Judgment under the Dana Factors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KEIP is Calculated to Achieve the Desired Performance</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 below]</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described in the [affidavit], the KEIP provides incentives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of executives to achieve targets that will enhance the value of the estate for the benefit of the Debtors' stakeholders. The awards are tied to [performance metrics]. Achieving the targets will be difficult, and to do so, the Key Executives must undertake significant efforts towards [relate to metrics].]</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Engaged in Due Diligence with the Assistance of Independent Counsel in Creating the KEIP</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 below]</w:t>
      </w:r>
    </w:p>
    <w:p>
      <w:pPr>
        <w:keepNext w:val="0"/>
        <w:spacing w:before="200" w:after="0" w:line="260" w:lineRule="exact"/>
        <w:ind w:left="2520" w:right="0" w:firstLine="0"/>
        <w:jc w:val="both"/>
      </w:pPr>
      <w:r>
        <w:rPr>
          <w:rFonts w:ascii="Times New Roman" w:hAnsi="Times New Roman" w:eastAsia="Times New Roman" w:cs="Times New Roman"/>
          <w:b w:val="0"/>
          <w:sz w:val="24"/>
        </w:rPr>
        <w:t>• [As described in more detail in the [affidavit], in formulating the KEIP, the Debtors worked with [advisor], their [describe the role, such as financial advisor or compensation consultant], to develop the KEIP. [Advisor] reviewed incentive plans among other chapter 11 debtors [and other companies similar to the Debtors] that [describe characteristics used to determine comparable companies]. Informed by this market review, the Debtors and their advisors structured the KEIP to use appropriate incentives and benchmarks for the circumstances presented in these chapter 11 cases.]</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Cost of the KEIP is Reasonable and Consistent with Market Practice</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examples below]</w:t>
      </w:r>
    </w:p>
    <w:p>
      <w:pPr>
        <w:keepNext w:val="0"/>
        <w:spacing w:before="200" w:after="0" w:line="260" w:lineRule="exact"/>
        <w:ind w:left="2520" w:right="0" w:firstLine="0"/>
        <w:jc w:val="both"/>
      </w:pPr>
      <w:r>
        <w:rPr>
          <w:rFonts w:ascii="Times New Roman" w:hAnsi="Times New Roman" w:eastAsia="Times New Roman" w:cs="Times New Roman"/>
          <w:b w:val="0"/>
          <w:sz w:val="24"/>
        </w:rPr>
        <w:t>• [As noted above and in the [affidavit], [advisor] reviewed various incentive plans established by chapter 11 debtors [and other companies similar to the Debtors]. [Describe the outcome of the analysis.]]</w:t>
      </w:r>
    </w:p>
    <w:p>
      <w:pPr>
        <w:keepNext w:val="0"/>
        <w:spacing w:before="200" w:after="0" w:line="260" w:lineRule="exact"/>
        <w:ind w:left="2520" w:right="0" w:firstLine="0"/>
        <w:jc w:val="both"/>
      </w:pPr>
      <w:r>
        <w:rPr>
          <w:rFonts w:ascii="Times New Roman" w:hAnsi="Times New Roman" w:eastAsia="Times New Roman" w:cs="Times New Roman"/>
          <w:b w:val="0"/>
          <w:sz w:val="24"/>
        </w:rPr>
        <w:t>• [If the [maximum] performance award is achieved, the aggregate cost of the KEIP is [dollar], which is [percent] of [metric, such as assets, liabilities, or revenue].]</w:t>
      </w:r>
    </w:p>
    <w:p>
      <w:pPr>
        <w:keepNext w:val="0"/>
        <w:spacing w:before="200" w:after="0" w:line="260" w:lineRule="exact"/>
        <w:ind w:left="2520" w:right="0" w:firstLine="0"/>
        <w:jc w:val="both"/>
      </w:pPr>
      <w:r>
        <w:rPr>
          <w:rFonts w:ascii="Times New Roman" w:hAnsi="Times New Roman" w:eastAsia="Times New Roman" w:cs="Times New Roman"/>
          <w:b w:val="0"/>
          <w:sz w:val="24"/>
        </w:rPr>
        <w:t>• [The cost of the KEIP is reasonable in relation to the Debtors' [metric, such as assets, liabilities, or revenue]. The cost is reasonable given the size and nature of the Debtors' business.]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KEIP is Fair and Reasonable</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 below]</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set forth in the [affidavit], the Key Executives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whose skills and performance are needed for the Debtors' to achieve the performance targets. The Debtors and their advisors devised the KEIP to properly motivate those executives.]</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light of the above facts, the implementation of the KEIP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exercise of the Debtors' business judgment and should be approved by the Court.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KERP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Exercise of Sound Business Judgment under the Dana Factors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22.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Court should approve the KERP pursuant to sections 363(b) and 503(c)(3) of the Bankruptcy Code. Based on the factors described in </w:t>
      </w:r>
      <w:r>
        <w:rPr>
          <w:rFonts w:ascii="Times New Roman" w:hAnsi="Times New Roman" w:eastAsia="Times New Roman" w:cs="Times New Roman"/>
          <w:b w:val="0"/>
          <w:sz w:val="24"/>
        </w:rPr>
        <w:t>Dana</w:t>
      </w:r>
      <w:r>
        <w:rPr>
          <w:rFonts w:ascii="Times New Roman" w:hAnsi="Times New Roman" w:eastAsia="Times New Roman" w:cs="Times New Roman"/>
          <w:b w:val="0"/>
          <w:sz w:val="24"/>
        </w:rPr>
        <w:t xml:space="preserve">, the KERP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of sound business judgment and is justified by the facts and circumstances of the case.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KERP is Calculated to Achieve the Desired Performance.</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 below]</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described in the [affidavit], the KERP is designed to encourage the Key Employees to remain with the Debtors through [target date]. The payments are designed to compensate such employees for their additional responsibilities during the chapter 11 cases.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 Employee voluntarily leaves (or is terminated for cause) prior to [target date(s)], the employee will not receive the corresponding KERP payment[s]. Thus, the KERP is calculated to encourage employees to stay for the desired period.]</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Debtors Engaged in Due Diligence with the Assistance of Independent Counsel in Creating the KERP.</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 below]</w:t>
      </w:r>
    </w:p>
    <w:p>
      <w:pPr>
        <w:keepNext w:val="0"/>
        <w:spacing w:before="200" w:after="0" w:line="260" w:lineRule="exact"/>
        <w:ind w:left="2520" w:right="0" w:firstLine="0"/>
        <w:jc w:val="both"/>
      </w:pPr>
      <w:r>
        <w:rPr>
          <w:rFonts w:ascii="Times New Roman" w:hAnsi="Times New Roman" w:eastAsia="Times New Roman" w:cs="Times New Roman"/>
          <w:b w:val="0"/>
          <w:sz w:val="24"/>
        </w:rPr>
        <w:t>• [As described in more detail in the [affidavit], in formulating the KERP, the Debtors worked with [advisor], their [describe the role, such as financial advisor or compensation consultant], to develop the KERP. [Advisor] reviewed retention plans among other chapter 11 debtors and companies similar to the Debtors that [describe characteristics used to determine comparable companies]. The Debtors also worked with their advisors to ensure that there were no insiders selected as Key Employees and that each Key Employee was essential to the [reorganization or sale process, as applicable]. With this information, the Debtors and their advisors developed the KERP.]</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Cost of the KERP is Reasonable and Consistent with Market Practice.</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 example below]</w:t>
      </w:r>
    </w:p>
    <w:p>
      <w:pPr>
        <w:keepNext w:val="0"/>
        <w:spacing w:before="200" w:after="0" w:line="260" w:lineRule="exact"/>
        <w:ind w:left="2520" w:right="0" w:firstLine="0"/>
        <w:jc w:val="both"/>
      </w:pPr>
      <w:r>
        <w:rPr>
          <w:rFonts w:ascii="Times New Roman" w:hAnsi="Times New Roman" w:eastAsia="Times New Roman" w:cs="Times New Roman"/>
          <w:b w:val="0"/>
          <w:sz w:val="24"/>
        </w:rPr>
        <w:t>• [As noted above and in the [affidavit], [advisor] reviewed various retention plans. [Describe the outcome of the analysis, such as percentiles.]]</w:t>
      </w:r>
    </w:p>
    <w:p>
      <w:pPr>
        <w:keepNext w:val="0"/>
        <w:spacing w:before="200" w:after="0" w:line="260" w:lineRule="exact"/>
        <w:ind w:left="2520" w:right="0" w:firstLine="0"/>
        <w:jc w:val="both"/>
      </w:pPr>
      <w:r>
        <w:rPr>
          <w:rFonts w:ascii="Times New Roman" w:hAnsi="Times New Roman" w:eastAsia="Times New Roman" w:cs="Times New Roman"/>
          <w:b w:val="0"/>
          <w:sz w:val="24"/>
        </w:rPr>
        <w:t>• [If all of the Key Employees stay until [their respective target dates] [and receive the maximum award], the aggregate cost of the KERP is [dollar], which is [percent] of [metric, such as assets, liabilities, or revenue].]</w:t>
      </w:r>
    </w:p>
    <w:p>
      <w:pPr>
        <w:keepNext w:val="0"/>
        <w:spacing w:before="200" w:after="0" w:line="260" w:lineRule="exact"/>
        <w:ind w:left="2520" w:right="0" w:firstLine="0"/>
        <w:jc w:val="both"/>
      </w:pPr>
      <w:r>
        <w:rPr>
          <w:rFonts w:ascii="Times New Roman" w:hAnsi="Times New Roman" w:eastAsia="Times New Roman" w:cs="Times New Roman"/>
          <w:b w:val="0"/>
          <w:sz w:val="24"/>
        </w:rPr>
        <w:t>• [The cost of the KERP is reasonable in relation to the Debtors' [metric, such as assets, liabilities, or revenue]. The cost is reasonable given the size and nature of the Debtors' business.]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KERP is Fair and Reasonable</w:t>
      </w:r>
      <w:r>
        <w:rPr>
          <w:rFonts w:ascii="Times New Roman" w:hAnsi="Times New Roman" w:eastAsia="Times New Roman" w:cs="Times New Roman"/>
          <w:b w:val="0"/>
          <w:sz w:val="24"/>
        </w:rPr>
        <w:t xml:space="preserve"> </w:t>
      </w:r>
    </w:p>
    <w:p>
      <w:pPr>
        <w:keepNext w:val="0"/>
        <w:spacing w:before="200" w:after="0" w:line="260" w:lineRule="exact"/>
        <w:ind w:left="2520" w:right="0" w:firstLine="0"/>
        <w:jc w:val="both"/>
      </w:pPr>
      <w:r>
        <w:rPr>
          <w:rFonts w:ascii="Times New Roman" w:hAnsi="Times New Roman" w:eastAsia="Times New Roman" w:cs="Times New Roman"/>
          <w:b w:val="0"/>
          <w:sz w:val="24"/>
        </w:rPr>
        <w:t>• [Add reasons]</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set forth in the [affidavit], the [number] Key Employees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of employees whose skills and performance are needed for the Debtors' ongoing [sale/reorganization] efforts. The Debtors and their advisors devised the KERP to encourage these employees to remain with the Debtors during this critical time.</w:t>
      </w:r>
    </w:p>
    <w:p>
      <w:pPr>
        <w:keepNext w:val="0"/>
        <w:spacing w:before="200" w:after="0" w:line="260" w:lineRule="exact"/>
        <w:ind w:left="2520" w:right="0" w:firstLine="0"/>
        <w:jc w:val="both"/>
      </w:pPr>
      <w:r>
        <w:rPr>
          <w:rFonts w:ascii="Times New Roman" w:hAnsi="Times New Roman" w:eastAsia="Times New Roman" w:cs="Times New Roman"/>
          <w:b w:val="0"/>
          <w:sz w:val="24"/>
        </w:rPr>
        <w:t>• [The KERP does not unfairly discriminate among the Debtors' employees.]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503(c)(1) of the Bankruptcy Code Does Not Apply to the KEIP or the KEIP.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KEIP is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Retention Plan Under Section 503(c)(1) of the Bankruptcy Code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24.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503(c)(1) imposes restrictions on payments to insiders for the purpose of inducing such persons to remain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business. Section 503(c)(1) applies to retention plans, and not incentive plans. This is the case even if the incentive plan may have some retentive effect. See In re Velo Holdings, Inc., 472 B.R. 201, 209-10 (Bankr. S.D.N.Y. 2012) ("Although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purported KEIP may contain some retentive effect, that does not mean that the plan, overall, is retentive rather than incentivizing in nature.") (internal quotation marks omitted); In re Glob. Home Prods., LLC, 369 B.R. 778, 786 (Bankr. D. Del. 2007) ("The fact, as Debtors pointed out, that all compensation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retention element does not reduce the Court's conviction that Debtors' primary goal to [is] create value by motivating performance.").</w:t>
      </w:r>
    </w:p>
    <w:p>
      <w:pPr>
        <w:keepNext w:val="0"/>
        <w:spacing w:before="120" w:after="0" w:line="260" w:lineRule="exact"/>
        <w:ind w:left="1800" w:right="0" w:firstLine="0"/>
        <w:jc w:val="left"/>
      </w:pPr>
      <w:r>
        <w:rPr>
          <w:rFonts w:ascii="Times New Roman" w:hAnsi="Times New Roman" w:eastAsia="Times New Roman" w:cs="Times New Roman"/>
          <w:b w:val="0"/>
          <w:sz w:val="24"/>
        </w:rPr>
        <w:t>25.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However, calling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plan" does not automatically take the plan outside the scope of section 503(c)(1). See In re Alpha Nat. Res., Inc., 546 B.R. 348, 357 (Bankr. E.D. Va. 2016)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cannot defer to the labels 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when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KEIP's true purpose is to either incent or retain."). It is the debtor's burden to demonstrate that the plan is primarily incentivizing rather than primarily retentive. See In re Residential Capital, LLC, 478 B.R. 154, 170 (Bankr. S.D.N.Y. 2012). If the targets are readily achievable, the plan may be retentive in nature. See In re Residential Capital, LLC, 491 B.R. 73, 86 (Bankr. S.D.N.Y. 2013); In re Hawker Beechcraft, Inc., 479 B.R. 308, 315 (Bankr. S.D.N.Y. 2012).</w:t>
      </w:r>
    </w:p>
    <w:p>
      <w:pPr>
        <w:keepNext w:val="0"/>
        <w:spacing w:before="120" w:after="0" w:line="260" w:lineRule="exact"/>
        <w:ind w:left="1800" w:right="0" w:firstLine="0"/>
        <w:jc w:val="left"/>
      </w:pPr>
      <w:r>
        <w:rPr>
          <w:rFonts w:ascii="Times New Roman" w:hAnsi="Times New Roman" w:eastAsia="Times New Roman" w:cs="Times New Roman"/>
          <w:b w:val="0"/>
          <w:sz w:val="24"/>
        </w:rPr>
        <w:t>26.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this case, the KEIP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plan,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to stay" retention plan. The payments are tied to performance metrics. [Add additional details]. The threshold amounts are difficult to achieve. [Add additional details]. No payments are made if the thresholds are not met. Thus, the Key Executives do not receive payment under the KEIP merely for remaining employed with the Debtors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date or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event. Accordingly, section 503(c)(1) is inapplicable.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503(c)(1) is Not Applicable to the KERP</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27.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Debtors did not select any insiders to participate in the KERP, and thus section 503(c)(1) is not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28.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Insiders are defined in section 101(31) of the Bankruptcy Code. If the debtor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insiders include any director, officer, or person in control of the debtor,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any such person. 11 U.S.C. § 101(31)(B). Insiders are also persons who directly or indirectly own, control, or hold with the power to vote at least 20% of the voting securities of the debtor-corporation. 11 U.S.C. §§ 101(2) and 101(31)(E).</w:t>
      </w:r>
    </w:p>
    <w:p>
      <w:pPr>
        <w:keepNext w:val="0"/>
        <w:spacing w:before="120" w:after="0" w:line="260" w:lineRule="exact"/>
        <w:ind w:left="1800" w:right="0" w:firstLine="0"/>
        <w:jc w:val="left"/>
      </w:pPr>
      <w:r>
        <w:rPr>
          <w:rFonts w:ascii="Times New Roman" w:hAnsi="Times New Roman" w:eastAsia="Times New Roman" w:cs="Times New Roman"/>
          <w:b w:val="0"/>
          <w:sz w:val="24"/>
        </w:rPr>
        <w:t>29.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job title generally is not outcome determinative. In re Borders Grp., Inc., 453 B.R. 459, 468-69 (Bankr. S.D.N.Y. 2011)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title, by itself, is insufficient to establish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Rather, courts look to the totality of the circumstances, including the person's involvement in the debtor's affairs. Id. However,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is found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(such as one who serves on the governing board or was elected or appointed by the board of directors), that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Office of the U.S. Tr. v. Fieldstone Mortg. Co., 2008 U.S. Dist. LEXIS 91479 (D. Md. Nov. 5, 2008); see also Borders Grp., 453 B.R. at 468-470.</w:t>
      </w:r>
    </w:p>
    <w:p>
      <w:pPr>
        <w:keepNext w:val="0"/>
        <w:spacing w:before="120" w:after="0" w:line="260" w:lineRule="exact"/>
        <w:ind w:left="1800" w:right="0" w:firstLine="0"/>
        <w:jc w:val="left"/>
      </w:pPr>
      <w:r>
        <w:rPr>
          <w:rFonts w:ascii="Times New Roman" w:hAnsi="Times New Roman" w:eastAsia="Times New Roman" w:cs="Times New Roman"/>
          <w:b w:val="0"/>
          <w:sz w:val="24"/>
        </w:rPr>
        <w:t>30.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lack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does not preclude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from being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Employees who have sufficient authority to make company-wide or strategic decisions, or to dictate corporate policy and the disposition of assets, may be insiders even if they lack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title. See In re Glob. Aviation Holdings Inc., 478 B.R. 142, 150 (Bankr. E.D.N.Y. 2012).</w:t>
      </w:r>
    </w:p>
    <w:p>
      <w:pPr>
        <w:keepNext w:val="0"/>
        <w:spacing w:before="120" w:after="0" w:line="260" w:lineRule="exact"/>
        <w:ind w:left="1800" w:right="0" w:firstLine="0"/>
        <w:jc w:val="left"/>
      </w:pPr>
      <w:r>
        <w:rPr>
          <w:rFonts w:ascii="Times New Roman" w:hAnsi="Times New Roman" w:eastAsia="Times New Roman" w:cs="Times New Roman"/>
          <w:b w:val="0"/>
          <w:sz w:val="24"/>
        </w:rPr>
        <w:t>31.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Here, none of the Key Employees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 even though some of them have titles such as [officer, director, or manager like titles]]. No Key Employee has been appointed or elected by the board of directors, nor does any serve on the board. None of the Key Employees has the authority to make company-wide or strategic decisions. Nor can any Key Employee take significant actions with respect to corporate policies or dispose of significant assets without approval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manager. [Add additional facts].</w:t>
      </w:r>
    </w:p>
    <w:p>
      <w:pPr>
        <w:keepNext w:val="0"/>
        <w:spacing w:before="120" w:after="0" w:line="260" w:lineRule="exact"/>
        <w:ind w:left="720" w:right="0" w:firstLine="0"/>
        <w:jc w:val="left"/>
      </w:pPr>
      <w:r>
        <w:rPr>
          <w:rFonts w:ascii="Times New Roman" w:hAnsi="Times New Roman" w:eastAsia="Times New Roman" w:cs="Times New Roman"/>
          <w:b/>
          <w:sz w:val="24"/>
        </w:rPr>
        <w:t>Waiver of Bankruptcy Rule 6004(h) Stay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Bankruptcy Rule 6004(h) stay that may be applicable to the Court's approval of the KERP and the KEIP. The Debtors believe that the Key Employees and Key Executives should have certainty that they will be compensated for their efforts to maximize the value of the Debtors' estates. Therefore, the Court should approve the waiver of the 14-day stay imposed by Bankruptcy Rule 6004(h) to the extent that it would be otherwise applicable.</w:t>
      </w:r>
    </w:p>
    <w:p>
      <w:pPr>
        <w:keepNext w:val="0"/>
        <w:spacing w:before="120" w:after="0" w:line="260" w:lineRule="exact"/>
        <w:ind w:left="720" w:right="0" w:firstLine="0"/>
        <w:jc w:val="left"/>
      </w:pP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will provide notice of this motion to: [Notice Parties]. The Debtors respectfully submit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No Prior Request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such other and further relief as the Court deems just and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