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Motion to Designate Votes</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 xml:space="preserve">UNITED STATES BANKRUPTCY COURT </w:t>
      </w:r>
    </w:p>
    <w:p>
      <w:pPr>
        <w:keepNext w:val="0"/>
        <w:spacing w:before="200" w:after="0" w:line="260" w:lineRule="exact"/>
        <w:ind w:left="360" w:right="0" w:firstLine="0"/>
        <w:jc w:val="center"/>
      </w:pPr>
      <w:r>
        <w:rPr>
          <w:rFonts w:ascii="Times New Roman" w:hAnsi="Times New Roman" w:eastAsia="Times New Roman" w:cs="Times New Roman"/>
          <w:b w:val="0"/>
          <w:sz w:val="24"/>
        </w:rPr>
        <w:t>FOR THE [DISTRICT]</w:t>
      </w:r>
    </w:p>
    <w:p>
      <w:pPr>
        <w:keepNext w:val="0"/>
        <w:spacing w:before="120" w:after="0" w:line="260" w:lineRule="exact"/>
        <w:ind w:left="360" w:right="0" w:firstLine="0"/>
        <w:jc w:val="left"/>
      </w:pPr>
      <w:r>
        <w:rPr>
          <w:rFonts w:ascii="Times New Roman" w:hAnsi="Times New Roman" w:eastAsia="Times New Roman" w:cs="Times New Roman"/>
          <w:b/>
          <w:sz w:val="24"/>
        </w:rPr>
        <w:t>MOTION OF [MOVANT] TO DESIGNATE THE VOTES OF [NAME]</w:t>
      </w:r>
    </w:p>
    <w:p>
      <w:pPr>
        <w:keepNext w:val="0"/>
        <w:spacing w:before="200" w:after="0" w:line="260" w:lineRule="exact"/>
        <w:ind w:left="720" w:right="0" w:firstLine="0"/>
        <w:jc w:val="both"/>
      </w:pPr>
      <w:r>
        <w:rPr>
          <w:rFonts w:ascii="Times New Roman" w:hAnsi="Times New Roman" w:eastAsia="Times New Roman" w:cs="Times New Roman"/>
          <w:b w:val="0"/>
          <w:sz w:val="24"/>
        </w:rPr>
        <w:t>[Name] [(the "</w:t>
      </w:r>
      <w:r>
        <w:rPr>
          <w:rFonts w:ascii="Times New Roman" w:hAnsi="Times New Roman" w:eastAsia="Times New Roman" w:cs="Times New Roman"/>
          <w:b w:val="0"/>
          <w:sz w:val="24"/>
        </w:rPr>
        <w:t>Movant</w:t>
      </w:r>
      <w:r>
        <w:rPr>
          <w:rFonts w:ascii="Times New Roman" w:hAnsi="Times New Roman" w:eastAsia="Times New Roman" w:cs="Times New Roman"/>
          <w:b w:val="0"/>
          <w:sz w:val="24"/>
        </w:rPr>
        <w:t>")], by and through its undersigned counsel, hereby files this motion (the "</w:t>
      </w:r>
      <w:r>
        <w:rPr>
          <w:rFonts w:ascii="Times New Roman" w:hAnsi="Times New Roman" w:eastAsia="Times New Roman" w:cs="Times New Roman"/>
          <w:b w:val="0"/>
          <w:sz w:val="24"/>
        </w:rPr>
        <w:t>Motion</w:t>
      </w:r>
      <w:r>
        <w:rPr>
          <w:rFonts w:ascii="Times New Roman" w:hAnsi="Times New Roman" w:eastAsia="Times New Roman" w:cs="Times New Roman"/>
          <w:b w:val="0"/>
          <w:sz w:val="24"/>
        </w:rPr>
        <w:t xml:space="preserve">") for entry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substantially in the form attached hereto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 pursuant to Section 1126(e) of title 11 of the United States Code (the "</w:t>
      </w:r>
      <w:r>
        <w:rPr>
          <w:rFonts w:ascii="Times New Roman" w:hAnsi="Times New Roman" w:eastAsia="Times New Roman" w:cs="Times New Roman"/>
          <w:b w:val="0"/>
          <w:sz w:val="24"/>
        </w:rPr>
        <w:t>Bankruptcy Code</w:t>
      </w:r>
      <w:r>
        <w:rPr>
          <w:rFonts w:ascii="Times New Roman" w:hAnsi="Times New Roman" w:eastAsia="Times New Roman" w:cs="Times New Roman"/>
          <w:b w:val="0"/>
          <w:sz w:val="24"/>
        </w:rPr>
        <w:t>"), designating the votes of [Voting Party] to [accept or reject] the [plan name] (the "Plan") filed by the above-captioned debtors and debtors in possession (collectively, the "</w:t>
      </w:r>
      <w:r>
        <w:rPr>
          <w:rFonts w:ascii="Times New Roman" w:hAnsi="Times New Roman" w:eastAsia="Times New Roman" w:cs="Times New Roman"/>
          <w:b w:val="0"/>
          <w:sz w:val="24"/>
        </w:rPr>
        <w:t>Debtors</w:t>
      </w:r>
      <w:r>
        <w:rPr>
          <w:rFonts w:ascii="Times New Roman" w:hAnsi="Times New Roman" w:eastAsia="Times New Roman" w:cs="Times New Roman"/>
          <w:b w:val="0"/>
          <w:sz w:val="24"/>
        </w:rPr>
        <w:t>"). In support of this Motion, [Movant] respectfully represents as follows:</w:t>
      </w:r>
    </w:p>
    <w:p>
      <w:pPr>
        <w:keepNext w:val="0"/>
        <w:spacing w:before="120" w:after="0" w:line="260" w:lineRule="exact"/>
        <w:ind w:left="360" w:right="0" w:firstLine="0"/>
        <w:jc w:val="left"/>
      </w:pPr>
      <w:r>
        <w:rPr>
          <w:rFonts w:ascii="Times New Roman" w:hAnsi="Times New Roman" w:eastAsia="Times New Roman" w:cs="Times New Roman"/>
          <w:b/>
          <w:sz w:val="24"/>
        </w:rPr>
        <w:t>PRELIMINARY STATEMENT</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[briefly describe the motion and the reasons for relief]</w:t>
      </w:r>
    </w:p>
    <w:p>
      <w:pPr>
        <w:keepNext w:val="0"/>
        <w:spacing w:before="120" w:after="0" w:line="260" w:lineRule="exact"/>
        <w:ind w:left="360" w:right="0" w:firstLine="0"/>
        <w:jc w:val="left"/>
      </w:pPr>
      <w:r>
        <w:rPr>
          <w:rFonts w:ascii="Times New Roman" w:hAnsi="Times New Roman" w:eastAsia="Times New Roman" w:cs="Times New Roman"/>
          <w:b/>
          <w:sz w:val="24"/>
        </w:rPr>
        <w:t>JURISDICTION AND VENUE</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Court has jurisdiction over the Motion pursuant to 28 U.S.C. §§ 157 and 1334. This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core proceeding pursuant to 28 U.S.C. § 157(b). Venue is proper in this Court pursuant to 28 U.S.C. §§ 1408 and 1409.</w:t>
      </w:r>
    </w:p>
    <w:p>
      <w:pPr>
        <w:keepNext w:val="0"/>
        <w:spacing w:before="120" w:after="0" w:line="260" w:lineRule="exact"/>
        <w:ind w:left="360" w:right="0" w:firstLine="0"/>
        <w:jc w:val="left"/>
      </w:pPr>
      <w:r>
        <w:rPr>
          <w:rFonts w:ascii="Times New Roman" w:hAnsi="Times New Roman" w:eastAsia="Times New Roman" w:cs="Times New Roman"/>
          <w:b/>
          <w:sz w:val="24"/>
        </w:rPr>
        <w:t>BACKGROUND</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On [Month] [Day], [Year] (the "</w:t>
      </w:r>
      <w:r>
        <w:rPr>
          <w:rFonts w:ascii="Times New Roman" w:hAnsi="Times New Roman" w:eastAsia="Times New Roman" w:cs="Times New Roman"/>
          <w:b w:val="0"/>
          <w:sz w:val="24"/>
        </w:rPr>
        <w:t>Petition Date</w:t>
      </w:r>
      <w:r>
        <w:rPr>
          <w:rFonts w:ascii="Times New Roman" w:hAnsi="Times New Roman" w:eastAsia="Times New Roman" w:cs="Times New Roman"/>
          <w:b w:val="0"/>
          <w:sz w:val="24"/>
        </w:rPr>
        <w:t>"), the Debtors filed petitions for relief under Chapter 11 of the Bankruptcy Code.</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[explain the relevant events leading up to the filing of the plan and disclosure statement].</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On [Month] [Day], [Year], the Debtors filed their disclosure statement, Docket No. [___] (the "</w:t>
      </w:r>
      <w:r>
        <w:rPr>
          <w:rFonts w:ascii="Times New Roman" w:hAnsi="Times New Roman" w:eastAsia="Times New Roman" w:cs="Times New Roman"/>
          <w:b w:val="0"/>
          <w:sz w:val="24"/>
        </w:rPr>
        <w:t>Disclosure Statement</w:t>
      </w:r>
      <w:r>
        <w:rPr>
          <w:rFonts w:ascii="Times New Roman" w:hAnsi="Times New Roman" w:eastAsia="Times New Roman" w:cs="Times New Roman"/>
          <w:b w:val="0"/>
          <w:sz w:val="24"/>
        </w:rPr>
        <w:t>"). [add relevant detail].</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On [Month] [Day], [Year], the Debtors filed their Plan, Docket No. [___]. [add relevant detail].</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On [Month] [Day], [Year], the Court held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hearing on the approval of the Disclosure Statement, and on [Month] [Day], [Year], the Court entered the [title of disclosure statement order], Docket No. [___], approving the Debtors' Disclosure Statement [(the "</w:t>
      </w:r>
      <w:r>
        <w:rPr>
          <w:rFonts w:ascii="Times New Roman" w:hAnsi="Times New Roman" w:eastAsia="Times New Roman" w:cs="Times New Roman"/>
          <w:b w:val="0"/>
          <w:sz w:val="24"/>
        </w:rPr>
        <w:t>Disclosure Statement Order</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[detail solicitation and voting].</w:t>
      </w:r>
    </w:p>
    <w:p>
      <w:pPr>
        <w:keepNext w:val="0"/>
        <w:spacing w:before="120" w:after="0" w:line="260" w:lineRule="exact"/>
        <w:ind w:left="720" w:right="0" w:firstLine="0"/>
        <w:jc w:val="left"/>
      </w:pPr>
      <w:r>
        <w:rPr>
          <w:rFonts w:ascii="Times New Roman" w:hAnsi="Times New Roman" w:eastAsia="Times New Roman" w:cs="Times New Roman"/>
          <w:b w:val="0"/>
          <w:sz w:val="24"/>
        </w:rPr>
        <w:t>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[add facts supporting vote designation].</w:t>
      </w:r>
    </w:p>
    <w:p>
      <w:pPr>
        <w:keepNext w:val="0"/>
        <w:spacing w:before="120" w:after="0" w:line="260" w:lineRule="exact"/>
        <w:ind w:left="360" w:right="0" w:firstLine="0"/>
        <w:jc w:val="left"/>
      </w:pPr>
      <w:r>
        <w:rPr>
          <w:rFonts w:ascii="Times New Roman" w:hAnsi="Times New Roman" w:eastAsia="Times New Roman" w:cs="Times New Roman"/>
          <w:b/>
          <w:sz w:val="24"/>
        </w:rPr>
        <w:t>RELIEF REQUESTED</w:t>
      </w:r>
    </w:p>
    <w:p>
      <w:pPr>
        <w:keepNext w:val="0"/>
        <w:spacing w:before="120" w:after="0" w:line="260" w:lineRule="exact"/>
        <w:ind w:left="720" w:right="0" w:firstLine="0"/>
        <w:jc w:val="left"/>
      </w:pPr>
      <w:r>
        <w:rPr>
          <w:rFonts w:ascii="Times New Roman" w:hAnsi="Times New Roman" w:eastAsia="Times New Roman" w:cs="Times New Roman"/>
          <w:b w:val="0"/>
          <w:sz w:val="24"/>
        </w:rPr>
        <w:t>10.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By this Motion, [Movant] seeks the entry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pursuant to Section 1126(e) of the Bankruptcy Code, designating the votes of [Voting Party] to [accept or reject] Debtors' Plan.</w:t>
      </w:r>
    </w:p>
    <w:p>
      <w:pPr>
        <w:keepNext w:val="0"/>
        <w:spacing w:before="120" w:after="0" w:line="260" w:lineRule="exact"/>
        <w:ind w:left="360" w:right="0" w:firstLine="0"/>
        <w:jc w:val="left"/>
      </w:pPr>
      <w:r>
        <w:rPr>
          <w:rFonts w:ascii="Times New Roman" w:hAnsi="Times New Roman" w:eastAsia="Times New Roman" w:cs="Times New Roman"/>
          <w:b/>
          <w:sz w:val="24"/>
        </w:rPr>
        <w:t>BASIS FOR RELIEF</w:t>
      </w:r>
    </w:p>
    <w:p>
      <w:pPr>
        <w:keepNext w:val="0"/>
        <w:spacing w:before="120" w:after="0" w:line="260" w:lineRule="exact"/>
        <w:ind w:left="720" w:right="0" w:firstLine="0"/>
        <w:jc w:val="left"/>
      </w:pPr>
      <w:r>
        <w:rPr>
          <w:rFonts w:ascii="Times New Roman" w:hAnsi="Times New Roman" w:eastAsia="Times New Roman" w:cs="Times New Roman"/>
          <w:b w:val="0"/>
          <w:sz w:val="24"/>
        </w:rPr>
        <w:t>11.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Section 1126(e) provides: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On request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in interest, and after notice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hearing, the court may designate any entity whose acceptance or rejection of such plan was not in good faith, or was not solicited or procured in good faith or in accordance with the provisions of this title.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11 U.S.C. § 1112(e). The decision to designate votes is in the sound discretion of the Court. In re Indianapolis Downs, LLC, 486 B.R. 286, 296 (Bankr. D. Del. 2013) ("[t]he decision whether to designate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creditor's ballot is within the sound discretion of the Court, and requires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factual inquiry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case-by-case basis"). The Bankruptcy Code does not define or provide guidance as to what constitutes good faith under Section 1126(e).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courts have developed case law to address the concepts of good and bad faith in the context of vote designation (discussed below). Votes that are designated are not counted when the court determines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class accepted or rejected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11 U.S.C. § 1126(c).</w:t>
      </w:r>
    </w:p>
    <w:p>
      <w:pPr>
        <w:keepNext w:val="0"/>
        <w:spacing w:before="120" w:after="0" w:line="260" w:lineRule="exact"/>
        <w:ind w:left="720" w:right="0" w:firstLine="0"/>
        <w:jc w:val="left"/>
      </w:pPr>
      <w:r>
        <w:rPr>
          <w:rFonts w:ascii="Times New Roman" w:hAnsi="Times New Roman" w:eastAsia="Times New Roman" w:cs="Times New Roman"/>
          <w:b w:val="0"/>
          <w:sz w:val="24"/>
        </w:rPr>
        <w:t>12.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this case, [Voting Party]'s votes should be designated because the votes (1) have not been cast in good faith within the meaning of Section 1126(e) and (2) were solicited and procured without the good faith required under Section 1126(e).</w:t>
      </w:r>
    </w:p>
    <w:p>
      <w:pPr>
        <w:keepNext w:val="0"/>
        <w:spacing w:before="120" w:after="0" w:line="260" w:lineRule="exact"/>
        <w:ind w:left="36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[Voting Party] Cast Votes on the Debtors' Plan in Bad Faith</w:t>
      </w:r>
    </w:p>
    <w:p>
      <w:pPr>
        <w:keepNext w:val="0"/>
        <w:spacing w:before="120" w:after="0" w:line="260" w:lineRule="exact"/>
        <w:ind w:left="720" w:right="0" w:firstLine="0"/>
        <w:jc w:val="left"/>
      </w:pPr>
      <w:r>
        <w:rPr>
          <w:rFonts w:ascii="Times New Roman" w:hAnsi="Times New Roman" w:eastAsia="Times New Roman" w:cs="Times New Roman"/>
          <w:b w:val="0"/>
          <w:sz w:val="24"/>
        </w:rPr>
        <w:t>13.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[Voting Party] did not cast its votes in good faith and, therefore, such votes should be designated in accordance with Section 1126(e). Section 1126(e) "recognizes two types of bad faith: (1) the claim holder attempts to extract or extort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personal advantage not available to other creditors in its class, and (2) the creditor has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'ulterior motive', such as to procure some collateral or competitive advantage that does not relate to its claim." In re Dune Deck Owners Corp., 175 B.R. 839, 844 (Bankr. S.D.N.Y. 1995).</w:t>
      </w:r>
    </w:p>
    <w:p>
      <w:pPr>
        <w:keepNext w:val="0"/>
        <w:spacing w:before="120" w:after="0" w:line="260" w:lineRule="exact"/>
        <w:ind w:left="720" w:right="0" w:firstLine="0"/>
        <w:jc w:val="left"/>
      </w:pPr>
      <w:r>
        <w:rPr>
          <w:rFonts w:ascii="Times New Roman" w:hAnsi="Times New Roman" w:eastAsia="Times New Roman" w:cs="Times New Roman"/>
          <w:b w:val="0"/>
          <w:sz w:val="24"/>
        </w:rPr>
        <w:t>14.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Courts have developed badges of bad faith that warrant designation, including creditor votes designed to "(1) assume control of the debtor; (2) put the debtor out of business or otherwise gain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competitive advantage; (3) destroy the debtor out of pure malice; or (4) obtain benefits available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private agreement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which depends on the debtor's failure to reorganize." In re Adelphia Communs. Corp., 359 B.R. 54, 61 (Bankr. S.D.N.Y. 2006) (citing Dune Deck, 175 B.R. at 844-45).</w:t>
      </w:r>
    </w:p>
    <w:p>
      <w:pPr>
        <w:keepNext w:val="0"/>
        <w:spacing w:before="120" w:after="0" w:line="260" w:lineRule="exact"/>
        <w:ind w:left="720" w:right="0" w:firstLine="0"/>
        <w:jc w:val="left"/>
      </w:pPr>
      <w:r>
        <w:rPr>
          <w:rFonts w:ascii="Times New Roman" w:hAnsi="Times New Roman" w:eastAsia="Times New Roman" w:cs="Times New Roman"/>
          <w:b w:val="0"/>
          <w:sz w:val="24"/>
        </w:rPr>
        <w:t>15.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Here, [add argument].</w:t>
      </w:r>
    </w:p>
    <w:p>
      <w:pPr>
        <w:keepNext w:val="0"/>
        <w:spacing w:before="120" w:after="0" w:line="260" w:lineRule="exact"/>
        <w:ind w:left="36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[Voting Party]'s Were Solicited in Bad Faith and Should Be Designated</w:t>
      </w:r>
    </w:p>
    <w:p>
      <w:pPr>
        <w:keepNext w:val="0"/>
        <w:spacing w:before="120" w:after="0" w:line="260" w:lineRule="exact"/>
        <w:ind w:left="720" w:right="0" w:firstLine="0"/>
        <w:jc w:val="left"/>
      </w:pPr>
      <w:r>
        <w:rPr>
          <w:rFonts w:ascii="Times New Roman" w:hAnsi="Times New Roman" w:eastAsia="Times New Roman" w:cs="Times New Roman"/>
          <w:b w:val="0"/>
          <w:sz w:val="24"/>
        </w:rPr>
        <w:t>16.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Section 1126(e) also provides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basis to designate the vote of any party whose acceptance or rejection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was not solicited or procured in good faith. Soliciting or procuring votes in bad faith occurs when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acts to taint the voting process or uses the voting process to accomplish some improper, ulterior purpose. Century Glove, Inc. v. First Am. Bank Of New York, 860 F.2d 94, 97 (3d Cir. 1988) ("when solicitation activities 'taint[] the voting process'" the court has discretion to sanction such conduct "whether it violates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specific provision or is in 'bad faith.'") (citations omitted). "While [section 1126(e)] decisions have typically focused on the voting creditor's motive, the statute is broader: it provides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basis to designate, without regard to the creditor's motive, where the vote is 'solicited or procured' in bad faith." In re Quigley Co., 437 B.R. 102, 130-131 (Bankr. S.D.N.Y. 2010).</w:t>
      </w:r>
    </w:p>
    <w:p>
      <w:pPr>
        <w:keepNext w:val="0"/>
        <w:spacing w:before="120" w:after="0" w:line="260" w:lineRule="exact"/>
        <w:ind w:left="720" w:right="0" w:firstLine="0"/>
        <w:jc w:val="left"/>
      </w:pPr>
      <w:r>
        <w:rPr>
          <w:rFonts w:ascii="Times New Roman" w:hAnsi="Times New Roman" w:eastAsia="Times New Roman" w:cs="Times New Roman"/>
          <w:b w:val="0"/>
          <w:sz w:val="24"/>
        </w:rPr>
        <w:t>17.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Section 1126(e) designates votes that were solicited in bad faith, including solicitations that (1) were made before dissemination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approved disclosure statement, (2) contain misrepresentations intended to deceive parties entitled to vote, and (3) reference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fraudulent arrangement that was not included in the disclosure statement. In re Snyder, 51 B.R. 432, 437 (Bankr. D. Utah 1985). In this case, [add argument].</w:t>
      </w:r>
    </w:p>
    <w:p>
      <w:pPr>
        <w:keepNext w:val="0"/>
        <w:spacing w:before="120" w:after="0" w:line="260" w:lineRule="exact"/>
        <w:ind w:left="720" w:right="0" w:firstLine="0"/>
        <w:jc w:val="left"/>
      </w:pPr>
      <w:r>
        <w:rPr>
          <w:rFonts w:ascii="Times New Roman" w:hAnsi="Times New Roman" w:eastAsia="Times New Roman" w:cs="Times New Roman"/>
          <w:b w:val="0"/>
          <w:sz w:val="24"/>
        </w:rPr>
        <w:t>18.</w:t>
      </w:r>
    </w:p>
    <w:p>
      <w:pPr>
        <w:keepNext w:val="0"/>
        <w:spacing w:before="200" w:after="0" w:line="260" w:lineRule="exact"/>
        <w:ind w:left="720" w:right="0" w:firstLine="0"/>
        <w:jc w:val="both"/>
      </w:pPr>
      <w:r>
        <w:rPr>
          <w:rFonts w:ascii="Times New Roman" w:hAnsi="Times New Roman" w:eastAsia="Times New Roman" w:cs="Times New Roman"/>
          <w:b/>
          <w:sz w:val="24"/>
        </w:rPr>
        <w:t xml:space="preserve">Second Optional Paragraph </w:t>
      </w:r>
      <w:r>
        <w:rPr>
          <w:rFonts w:ascii="Times New Roman" w:hAnsi="Times New Roman" w:eastAsia="Times New Roman" w:cs="Times New Roman"/>
          <w:b/>
          <w:sz w:val="24"/>
        </w:rPr>
        <w:t>18.</w:t>
      </w:r>
      <w:r>
        <w:rPr>
          <w:rFonts w:ascii="Times New Roman" w:hAnsi="Times New Roman" w:eastAsia="Times New Roman" w:cs="Times New Roman"/>
          <w:b/>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Courts also have discretion to sanction parties and equitably subordinate their claims when such parties have improperly solicited or procured votes in bad faith. See In re Clamp-All Corp., 233 B.R. 198, 209–10 (Bankr. D. Mass. 1999). Here, [add argument for sanctions and/or equitable subordination].</w:t>
      </w:r>
    </w:p>
    <w:p>
      <w:pPr>
        <w:keepNext w:val="0"/>
        <w:spacing w:before="120" w:after="0" w:line="260" w:lineRule="exact"/>
        <w:ind w:left="720" w:right="0" w:firstLine="0"/>
        <w:jc w:val="left"/>
      </w:pPr>
      <w:r>
        <w:rPr>
          <w:rFonts w:ascii="Times New Roman" w:hAnsi="Times New Roman" w:eastAsia="Times New Roman" w:cs="Times New Roman"/>
          <w:b w:val="0"/>
          <w:sz w:val="24"/>
        </w:rPr>
        <w:t>18.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For all these reasons, [Voting Party]'s votes on the Debtors' Plan should be designated in accordance with Section 1126(e) of the Bankruptcy Code.</w:t>
      </w:r>
    </w:p>
    <w:p>
      <w:pPr>
        <w:keepNext w:val="0"/>
        <w:spacing w:before="120" w:after="0" w:line="260" w:lineRule="exact"/>
        <w:ind w:left="360" w:right="0" w:firstLine="0"/>
        <w:jc w:val="left"/>
      </w:pPr>
      <w:r>
        <w:rPr>
          <w:rFonts w:ascii="Times New Roman" w:hAnsi="Times New Roman" w:eastAsia="Times New Roman" w:cs="Times New Roman"/>
          <w:b/>
          <w:sz w:val="24"/>
        </w:rPr>
        <w:t>PROCEDURE</w:t>
      </w:r>
    </w:p>
    <w:p>
      <w:pPr>
        <w:keepNext w:val="0"/>
        <w:spacing w:before="120" w:after="0" w:line="260" w:lineRule="exact"/>
        <w:ind w:left="720" w:right="0" w:firstLine="0"/>
        <w:jc w:val="left"/>
      </w:pPr>
      <w:r>
        <w:rPr>
          <w:rFonts w:ascii="Times New Roman" w:hAnsi="Times New Roman" w:eastAsia="Times New Roman" w:cs="Times New Roman"/>
          <w:b w:val="0"/>
          <w:sz w:val="24"/>
        </w:rPr>
        <w:t>19.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 previous request for the relief sought herein has been made to this or any other Court.</w:t>
      </w:r>
    </w:p>
    <w:p>
      <w:pPr>
        <w:keepNext w:val="0"/>
        <w:spacing w:before="120" w:after="0" w:line="260" w:lineRule="exact"/>
        <w:ind w:left="720" w:right="0" w:firstLine="0"/>
        <w:jc w:val="left"/>
      </w:pPr>
      <w:r>
        <w:rPr>
          <w:rFonts w:ascii="Times New Roman" w:hAnsi="Times New Roman" w:eastAsia="Times New Roman" w:cs="Times New Roman"/>
          <w:b w:val="0"/>
          <w:sz w:val="24"/>
        </w:rPr>
        <w:t>20.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[Movant] has provided notice of this Motion by facsimile and, where practicable, email and/or overnight mail to: [Notice Parties]. Due to the nature of the relief requested herein, [Movant] respectfully submits that no further notice of this Motion is required.</w:t>
      </w:r>
    </w:p>
    <w:p>
      <w:pPr/>
    </w:p>
    <w:p>
      <w:pPr>
        <w:keepNext w:val="0"/>
        <w:spacing w:before="120" w:after="0" w:line="260" w:lineRule="exact"/>
        <w:ind w:left="360" w:right="0" w:firstLine="0"/>
        <w:jc w:val="left"/>
      </w:pPr>
      <w:r>
        <w:rPr>
          <w:rFonts w:ascii="Times New Roman" w:hAnsi="Times New Roman" w:eastAsia="Times New Roman" w:cs="Times New Roman"/>
          <w:b/>
          <w:sz w:val="24"/>
        </w:rPr>
        <w:t>CONCLUSION</w:t>
      </w:r>
    </w:p>
    <w:p>
      <w:pPr>
        <w:keepNext w:val="0"/>
        <w:spacing w:before="200" w:after="0" w:line="260" w:lineRule="exact"/>
        <w:ind w:left="720" w:right="0" w:firstLine="0"/>
        <w:jc w:val="both"/>
      </w:pPr>
      <w:r>
        <w:rPr>
          <w:rFonts w:ascii="Times New Roman" w:hAnsi="Times New Roman" w:eastAsia="Times New Roman" w:cs="Times New Roman"/>
          <w:b/>
          <w:sz w:val="24"/>
        </w:rPr>
        <w:t>WHEREFORE</w:t>
      </w:r>
      <w:r>
        <w:rPr>
          <w:rFonts w:ascii="Times New Roman" w:hAnsi="Times New Roman" w:eastAsia="Times New Roman" w:cs="Times New Roman"/>
          <w:b w:val="0"/>
          <w:sz w:val="24"/>
        </w:rPr>
        <w:t>, [Movant] respectfully requests that the Court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enter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substantially in the form annexed hereto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 granting the relief requested herein; and (b) grant such other and further relief as the Court deems appropriate.</w:t>
      </w:r>
    </w:p>
    <w:p>
      <w:pPr>
        <w:keepNext w:val="0"/>
        <w:spacing w:before="200" w:after="0" w:line="260" w:lineRule="exact"/>
        <w:ind w:left="720" w:right="0" w:firstLine="0"/>
        <w:jc w:val="both"/>
      </w:pPr>
      <w:r>
        <w:rPr>
          <w:rFonts w:ascii="Times New Roman" w:hAnsi="Times New Roman" w:eastAsia="Times New Roman" w:cs="Times New Roman"/>
          <w:b w:val="0"/>
          <w:sz w:val="24"/>
        </w:rPr>
        <w:t>Dated: [date]</w:t>
      </w:r>
    </w:p>
    <w:p>
      <w:pPr>
        <w:keepNext w:val="0"/>
        <w:spacing w:before="200" w:after="0" w:line="260" w:lineRule="exact"/>
        <w:ind w:left="720" w:right="0" w:firstLine="0"/>
        <w:jc w:val="both"/>
      </w:pPr>
      <w:r>
        <w:rPr>
          <w:rFonts w:ascii="Times New Roman" w:hAnsi="Times New Roman" w:eastAsia="Times New Roman" w:cs="Times New Roman"/>
          <w:b w:val="0"/>
          <w:sz w:val="24"/>
        </w:rPr>
        <w:t>[city, state]</w:t>
      </w:r>
    </w:p>
    <w:p>
      <w:pPr>
        <w:keepNext w:val="0"/>
        <w:spacing w:before="120" w:after="0" w:line="260" w:lineRule="exact"/>
        <w:ind w:left="720" w:right="0" w:firstLine="0"/>
        <w:jc w:val="left"/>
      </w:pPr>
      <w:r>
        <w:rPr>
          <w:rFonts w:ascii="Times New Roman" w:hAnsi="Times New Roman" w:eastAsia="Times New Roman" w:cs="Times New Roman"/>
          <w:b w:val="0"/>
          <w:sz w:val="24"/>
        </w:rPr>
        <w:t>[Law firm]</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[signature line]</w:t>
      </w:r>
    </w:p>
    <w:p>
      <w:pPr>
        <w:keepNext w:val="0"/>
        <w:spacing w:before="120" w:after="0" w:line="260" w:lineRule="exact"/>
        <w:ind w:left="720" w:right="0" w:firstLine="0"/>
        <w:jc w:val="left"/>
      </w:pPr>
      <w:r>
        <w:rPr>
          <w:rFonts w:ascii="Times New Roman" w:hAnsi="Times New Roman" w:eastAsia="Times New Roman" w:cs="Times New Roman"/>
          <w:b w:val="0"/>
          <w:sz w:val="24"/>
        </w:rPr>
        <w:t>[address]</w:t>
      </w:r>
    </w:p>
    <w:p>
      <w:pPr>
        <w:keepNext w:val="0"/>
        <w:spacing w:before="120" w:after="0" w:line="260" w:lineRule="exact"/>
        <w:ind w:left="72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720" w:right="0" w:firstLine="0"/>
        <w:jc w:val="left"/>
      </w:pPr>
      <w:r>
        <w:rPr>
          <w:rFonts w:ascii="Times New Roman" w:hAnsi="Times New Roman" w:eastAsia="Times New Roman" w:cs="Times New Roman"/>
          <w:b w:val="0"/>
          <w:sz w:val="24"/>
        </w:rPr>
        <w:t>[fax]</w:t>
      </w:r>
    </w:p>
    <w:p>
      <w:pPr>
        <w:keepNext w:val="0"/>
        <w:spacing w:before="120" w:after="0" w:line="260" w:lineRule="exact"/>
        <w:ind w:left="720" w:right="0" w:firstLine="0"/>
        <w:jc w:val="left"/>
      </w:pPr>
      <w:r>
        <w:rPr>
          <w:rFonts w:ascii="Times New Roman" w:hAnsi="Times New Roman" w:eastAsia="Times New Roman" w:cs="Times New Roman"/>
          <w:b w:val="0"/>
          <w:sz w:val="24"/>
        </w:rPr>
        <w:t>[email]</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