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Motion to Dismiss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after="0" w:line="30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Contents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NO. [case docket number]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DEFENDANT [defendant name]'S MOTION TO DISMISS FOR LACK OF PERSONAL JURISDICTION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Defendant [defendant name] hereby moves under Conn. Practice Book § 10-30(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)(2) for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 dismissing this action for lack of personal jurisdiction over Defendant [defendant name].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Facts.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[Summarize facts relevant to motion].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Argument.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As further explained in the Memorandum of Law served and filed with this motion, Defendant [defendant name] lacks sufficient contacts with the State of Connecticut to permit the courts of this state to exercise personal jurisdiction over Defendant [defendant name] because [briefly state factual and legal argument and authority supporting motion to dismiss].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Conclusion.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For the above reasons, Defendant [defendant name] respectfully requests that the court grant this motion and enter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order: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Dismissing this action.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this and additional lettered paragraphs as needed, specify any other relief requested].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Granting Defendant [defendant name] such other and further relief as the court may deem just and proper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Defendant,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[Defendant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 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typed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[mailing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[telephone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Juris No. [Juris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[His / Her / Its] Attorney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certify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above Defendant [defendant name]'s Motion to Dismiss for Lack of Personal Jurisdiction was mailed or delivered electronically or nonelectronically on [date of service] to all counsel and self-represented parties of record and that written consent for electronic delivery was received from all counsel and self-represented parties of record who were electronically served.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Parties and/or attorneys served: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[List name of each party and attorney served and address at which service was made]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 (signature of attorney or party making service)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[typed name of attorney or party making service]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