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Dismiss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 [defendant name]'S MOTION TO DISMISS FOR LACK OF SUBJECT MATTER JURISDICTION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 name] hereby moves under Conn. Practice Book § 10-30(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)(1)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dismissing this action for lack of subject matter jurisdiction.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[Summarize facts relevant to motion].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Argument.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further explained in the Memorandum of Law served and filed with this motion, this court lacks jurisdiction over the subject matter of the Plaintiff's claims as alleged in [his / her / its] complaint because [briefly state factual and legal argument and authority supporting motion to dismiss].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Conclusion.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the above reasons, Defendant [defendant name]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this action.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additional lettered paragraphs as needed, specify any other relief requested].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Granting Defendant [defendant name] such other and further relief as the court may deem just and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Defendant [defendant name]'s Motion to Dismiss for Lack of Subject Matter Jurisdiction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