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Motion to Dismiss or Transfer Venue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UNITED STATES BANKRUPTCY COURT </w:t>
      </w:r>
    </w:p>
    <w:p>
      <w:pPr>
        <w:keepNext w:val="0"/>
        <w:spacing w:before="200" w:after="0" w:line="260" w:lineRule="exact"/>
        <w:ind w:left="360" w:right="0" w:firstLine="0"/>
        <w:jc w:val="center"/>
      </w:pPr>
      <w:r>
        <w:rPr>
          <w:rFonts w:ascii="Times New Roman" w:hAnsi="Times New Roman" w:eastAsia="Times New Roman" w:cs="Times New Roman"/>
          <w:b w:val="0"/>
          <w:sz w:val="24"/>
        </w:rPr>
        <w:t>FOR THE [DISTRICT]</w:t>
      </w:r>
    </w:p>
    <w:p>
      <w:pPr>
        <w:keepNext w:val="0"/>
        <w:spacing w:before="120" w:after="0" w:line="260" w:lineRule="exact"/>
        <w:ind w:left="360" w:right="0" w:firstLine="0"/>
        <w:jc w:val="left"/>
      </w:pPr>
      <w:r>
        <w:rPr>
          <w:rFonts w:ascii="Times New Roman" w:hAnsi="Times New Roman" w:eastAsia="Times New Roman" w:cs="Times New Roman"/>
          <w:b/>
          <w:sz w:val="24"/>
        </w:rPr>
        <w:t>MOTION OF [MOVANT'S NAME] TO DISMISS OR</w:t>
      </w:r>
      <w:r>
        <w:rPr>
          <w:rFonts w:ascii="Times New Roman" w:hAnsi="Times New Roman" w:eastAsia="Times New Roman" w:cs="Times New Roman"/>
          <w:sz w:val="24"/>
        </w:rPr>
        <w:br/>
      </w:r>
      <w:r>
        <w:rPr>
          <w:rFonts w:ascii="Times New Roman" w:hAnsi="Times New Roman" w:eastAsia="Times New Roman" w:cs="Times New Roman"/>
          <w:b/>
          <w:sz w:val="24"/>
        </w:rPr>
        <w:t>TRANSFER VENUE OF THE CASES FOR IMPROPER VENUE</w:t>
      </w:r>
    </w:p>
    <w:p>
      <w:pPr>
        <w:keepNext w:val="0"/>
        <w:spacing w:before="200" w:after="0" w:line="260" w:lineRule="exact"/>
        <w:ind w:left="720" w:right="0" w:firstLine="0"/>
        <w:jc w:val="both"/>
      </w:pPr>
      <w:r>
        <w:rPr>
          <w:rFonts w:ascii="Times New Roman" w:hAnsi="Times New Roman" w:eastAsia="Times New Roman" w:cs="Times New Roman"/>
          <w:b w:val="0"/>
          <w:sz w:val="24"/>
        </w:rPr>
        <w:t>[Name] [(the "</w:t>
      </w:r>
      <w:r>
        <w:rPr>
          <w:rFonts w:ascii="Times New Roman" w:hAnsi="Times New Roman" w:eastAsia="Times New Roman" w:cs="Times New Roman"/>
          <w:b w:val="0"/>
          <w:sz w:val="24"/>
        </w:rPr>
        <w:t>Movant</w:t>
      </w:r>
      <w:r>
        <w:rPr>
          <w:rFonts w:ascii="Times New Roman" w:hAnsi="Times New Roman" w:eastAsia="Times New Roman" w:cs="Times New Roman"/>
          <w:b w:val="0"/>
          <w:sz w:val="24"/>
        </w:rPr>
        <w:t>")], by and through its undersigned counsel, hereby files this motion (the "</w:t>
      </w:r>
      <w:r>
        <w:rPr>
          <w:rFonts w:ascii="Times New Roman" w:hAnsi="Times New Roman" w:eastAsia="Times New Roman" w:cs="Times New Roman"/>
          <w:b w:val="0"/>
          <w:sz w:val="24"/>
        </w:rPr>
        <w:t>Motion</w:t>
      </w:r>
      <w:r>
        <w:rPr>
          <w:rFonts w:ascii="Times New Roman" w:hAnsi="Times New Roman" w:eastAsia="Times New Roman" w:cs="Times New Roman"/>
          <w:b w:val="0"/>
          <w:sz w:val="24"/>
        </w:rPr>
        <w:t xml:space="preserve">") for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pursuant to Section[s] [1406(</w:t>
      </w:r>
      <w:r>
        <w:rPr>
          <w:rFonts w:ascii="Times New Roman" w:hAnsi="Times New Roman" w:eastAsia="Times New Roman" w:cs="Times New Roman"/>
          <w:b/>
          <w:sz w:val="24"/>
        </w:rPr>
        <w:t>a</w:t>
      </w:r>
      <w:r>
        <w:rPr>
          <w:rFonts w:ascii="Times New Roman" w:hAnsi="Times New Roman" w:eastAsia="Times New Roman" w:cs="Times New Roman"/>
          <w:b w:val="0"/>
          <w:sz w:val="24"/>
        </w:rPr>
        <w:t>)] [and] [1412] of Title 28 of the United States Code (the "</w:t>
      </w:r>
      <w:r>
        <w:rPr>
          <w:rFonts w:ascii="Times New Roman" w:hAnsi="Times New Roman" w:eastAsia="Times New Roman" w:cs="Times New Roman"/>
          <w:b w:val="0"/>
          <w:sz w:val="24"/>
        </w:rPr>
        <w:t>U.S. Code</w:t>
      </w:r>
      <w:r>
        <w:rPr>
          <w:rFonts w:ascii="Times New Roman" w:hAnsi="Times New Roman" w:eastAsia="Times New Roman" w:cs="Times New Roman"/>
          <w:b w:val="0"/>
          <w:sz w:val="24"/>
        </w:rPr>
        <w:t>") and Rule 1014(</w:t>
      </w:r>
      <w:r>
        <w:rPr>
          <w:rFonts w:ascii="Times New Roman" w:hAnsi="Times New Roman" w:eastAsia="Times New Roman" w:cs="Times New Roman"/>
          <w:b/>
          <w:sz w:val="24"/>
        </w:rPr>
        <w:t>a</w:t>
      </w:r>
      <w:r>
        <w:rPr>
          <w:rFonts w:ascii="Times New Roman" w:hAnsi="Times New Roman" w:eastAsia="Times New Roman" w:cs="Times New Roman"/>
          <w:b w:val="0"/>
          <w:sz w:val="24"/>
        </w:rPr>
        <w:t>)(2) of the Federal Rules of Bankruptcy Procedure (the "</w:t>
      </w:r>
      <w:r>
        <w:rPr>
          <w:rFonts w:ascii="Times New Roman" w:hAnsi="Times New Roman" w:eastAsia="Times New Roman" w:cs="Times New Roman"/>
          <w:b w:val="0"/>
          <w:sz w:val="24"/>
        </w:rPr>
        <w:t>Bankruptcy Rules</w:t>
      </w:r>
      <w:r>
        <w:rPr>
          <w:rFonts w:ascii="Times New Roman" w:hAnsi="Times New Roman" w:eastAsia="Times New Roman" w:cs="Times New Roman"/>
          <w:b w:val="0"/>
          <w:sz w:val="24"/>
        </w:rPr>
        <w:t>") dismissing or transferring venue of the Cases (defined below) for improper venue. In support of the Motion, the Movant respectfully states as follows:</w:t>
      </w:r>
    </w:p>
    <w:p>
      <w:pPr>
        <w:keepNext w:val="0"/>
        <w:spacing w:before="120" w:after="0" w:line="260" w:lineRule="exact"/>
        <w:ind w:left="720" w:right="0" w:firstLine="0"/>
        <w:jc w:val="left"/>
      </w:pPr>
      <w:r>
        <w:rPr>
          <w:rFonts w:ascii="Times New Roman" w:hAnsi="Times New Roman" w:eastAsia="Times New Roman" w:cs="Times New Roman"/>
          <w:b/>
          <w:sz w:val="24"/>
        </w:rPr>
        <w:t>PRELIMINARY STATEMENT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[briefly describe the motion and the reasons for relief]</w:t>
      </w:r>
    </w:p>
    <w:p>
      <w:pPr>
        <w:keepNext w:val="0"/>
        <w:spacing w:before="200" w:after="0" w:line="260" w:lineRule="exact"/>
        <w:ind w:left="720" w:right="0" w:firstLine="0"/>
        <w:jc w:val="center"/>
      </w:pPr>
      <w:r>
        <w:rPr>
          <w:rFonts w:ascii="Times New Roman" w:hAnsi="Times New Roman" w:eastAsia="Times New Roman" w:cs="Times New Roman"/>
          <w:b/>
          <w:sz w:val="24"/>
        </w:rPr>
        <w:t>JURISDICTION AND VENUE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Court has jurisdiction over the Motion pursuant to 28 U.S.C. §§ 157 and 1334.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core proceeding pursuant to 28 U.S.C. § 157(b). [Venue is not proper in this Court pursuant to 28 U.S.C. § 1408.]</w:t>
      </w:r>
    </w:p>
    <w:p>
      <w:pPr>
        <w:keepNext w:val="0"/>
        <w:spacing w:before="200" w:after="0" w:line="260" w:lineRule="exact"/>
        <w:ind w:left="720" w:right="0" w:firstLine="0"/>
        <w:jc w:val="center"/>
      </w:pPr>
      <w:r>
        <w:rPr>
          <w:rFonts w:ascii="Times New Roman" w:hAnsi="Times New Roman" w:eastAsia="Times New Roman" w:cs="Times New Roman"/>
          <w:b/>
          <w:sz w:val="24"/>
        </w:rPr>
        <w:t>BACKGROUND</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On [Month Day, 20__] (the "</w:t>
      </w:r>
      <w:r>
        <w:rPr>
          <w:rFonts w:ascii="Times New Roman" w:hAnsi="Times New Roman" w:eastAsia="Times New Roman" w:cs="Times New Roman"/>
          <w:b w:val="0"/>
          <w:sz w:val="24"/>
        </w:rPr>
        <w:t>Petition Date</w:t>
      </w:r>
      <w:r>
        <w:rPr>
          <w:rFonts w:ascii="Times New Roman" w:hAnsi="Times New Roman" w:eastAsia="Times New Roman" w:cs="Times New Roman"/>
          <w:b w:val="0"/>
          <w:sz w:val="24"/>
        </w:rPr>
        <w:t>"), the above-captioned debtors and debtors in possession (collectively, the "</w:t>
      </w:r>
      <w:r>
        <w:rPr>
          <w:rFonts w:ascii="Times New Roman" w:hAnsi="Times New Roman" w:eastAsia="Times New Roman" w:cs="Times New Roman"/>
          <w:b w:val="0"/>
          <w:sz w:val="24"/>
        </w:rPr>
        <w:t>Debtors</w:t>
      </w:r>
      <w:r>
        <w:rPr>
          <w:rFonts w:ascii="Times New Roman" w:hAnsi="Times New Roman" w:eastAsia="Times New Roman" w:cs="Times New Roman"/>
          <w:b w:val="0"/>
          <w:sz w:val="24"/>
        </w:rPr>
        <w:t>") filed petitions for relief under Chapter 11 of the Bankruptcy Code in the United States Bankruptcy Court for the [District] of [State] (the "[</w:t>
      </w:r>
      <w:r>
        <w:rPr>
          <w:rFonts w:ascii="Times New Roman" w:hAnsi="Times New Roman" w:eastAsia="Times New Roman" w:cs="Times New Roman"/>
          <w:b w:val="0"/>
          <w:sz w:val="24"/>
        </w:rPr>
        <w:t>Current Court</w:t>
      </w:r>
      <w:r>
        <w:rPr>
          <w:rFonts w:ascii="Times New Roman" w:hAnsi="Times New Roman" w:eastAsia="Times New Roman" w:cs="Times New Roman"/>
          <w:b w:val="0"/>
          <w:sz w:val="24"/>
        </w:rPr>
        <w:t>]") (the "</w:t>
      </w:r>
      <w:r>
        <w:rPr>
          <w:rFonts w:ascii="Times New Roman" w:hAnsi="Times New Roman" w:eastAsia="Times New Roman" w:cs="Times New Roman"/>
          <w:b w:val="0"/>
          <w:sz w:val="24"/>
        </w:rPr>
        <w:t>Cases</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Debtors [state where the debtors are incorporated]. None of the Debtors are incorporated in [current venue state].</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Debtors' headquarters are located in [location]. [add general facts concerning the debtor's business processes that take place at the headquarters.]</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Debtors' principal assets are located in [State]. [detail location of debtor's assets and principal assets].</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[Add other facts relevant to the factors courts consider when transferring venue.]</w:t>
      </w:r>
    </w:p>
    <w:p>
      <w:pPr>
        <w:keepNext w:val="0"/>
        <w:spacing w:before="120" w:after="0" w:line="260" w:lineRule="exact"/>
        <w:ind w:left="720" w:right="0" w:firstLine="0"/>
        <w:jc w:val="left"/>
      </w:pPr>
      <w:r>
        <w:rPr>
          <w:rFonts w:ascii="Times New Roman" w:hAnsi="Times New Roman" w:eastAsia="Times New Roman" w:cs="Times New Roman"/>
          <w:b/>
          <w:sz w:val="24"/>
        </w:rPr>
        <w:t>RELIEF REQUESTED</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this Motion, Movant seeks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under Section[s] [1406(</w:t>
      </w:r>
      <w:r>
        <w:rPr>
          <w:rFonts w:ascii="Times New Roman" w:hAnsi="Times New Roman" w:eastAsia="Times New Roman" w:cs="Times New Roman"/>
          <w:b/>
          <w:sz w:val="24"/>
        </w:rPr>
        <w:t>a</w:t>
      </w:r>
      <w:r>
        <w:rPr>
          <w:rFonts w:ascii="Times New Roman" w:hAnsi="Times New Roman" w:eastAsia="Times New Roman" w:cs="Times New Roman"/>
          <w:b w:val="0"/>
          <w:sz w:val="24"/>
        </w:rPr>
        <w:t>)] [and] [1412] of Title 28 of the U.S. Code and Bankruptcy Rule 1014(</w:t>
      </w:r>
      <w:r>
        <w:rPr>
          <w:rFonts w:ascii="Times New Roman" w:hAnsi="Times New Roman" w:eastAsia="Times New Roman" w:cs="Times New Roman"/>
          <w:b/>
          <w:sz w:val="24"/>
        </w:rPr>
        <w:t>a</w:t>
      </w:r>
      <w:r>
        <w:rPr>
          <w:rFonts w:ascii="Times New Roman" w:hAnsi="Times New Roman" w:eastAsia="Times New Roman" w:cs="Times New Roman"/>
          <w:b w:val="0"/>
          <w:sz w:val="24"/>
        </w:rPr>
        <w:t>)(2), dismissing or transferring venue of the Cases for improper venue.</w:t>
      </w:r>
    </w:p>
    <w:p>
      <w:pPr>
        <w:keepNext w:val="0"/>
        <w:spacing w:before="200" w:after="0" w:line="260" w:lineRule="exact"/>
        <w:ind w:left="720" w:right="0" w:firstLine="0"/>
        <w:jc w:val="center"/>
      </w:pPr>
      <w:r>
        <w:rPr>
          <w:rFonts w:ascii="Times New Roman" w:hAnsi="Times New Roman" w:eastAsia="Times New Roman" w:cs="Times New Roman"/>
          <w:b/>
          <w:sz w:val="24"/>
        </w:rPr>
        <w:t>BASIS FOR RELIEF</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Venue is governed by Section 1408 of Title 28 of the U.S. Code which provides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case may be commenced in the district: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which the domicile, residence, principal place of business in the United States, or principal assets in the United States, of the person or entity that is the subject of such case have been located for the one hundred and eighty days immediately preceding such commencement,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longer portion of such one-hundred-and-eighty-day period than the domicile, residence, or principal place of business, in the United States, or principal assets in the United States, of such person were located in any other district; 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which there is pending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under title 11 concerning such person's affiliate, general partner, or partnership.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28 U.S.C. § 1408. Thus,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is not properly venued unless it meets the criteria set forth in Section 1408.</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is not properly venued, the bankruptcy court cannot retain the case but rather must dismiss or transfer it (if in the interest of justice). Specifically, Section 1406 provides that: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district court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district in which is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laying venue in the wrong division or district shall dismiss, or if it be in the interest of justice, transfer such case to any district or division in which it could have been brought.</w:t>
      </w:r>
    </w:p>
    <w:p>
      <w:pPr>
        <w:keepNext w:val="0"/>
        <w:spacing w:before="200" w:after="0" w:line="260" w:lineRule="exact"/>
        <w:ind w:left="1080" w:right="0" w:firstLine="0"/>
        <w:jc w:val="both"/>
      </w:pPr>
      <w:r>
        <w:rPr>
          <w:rFonts w:ascii="Times New Roman" w:hAnsi="Times New Roman" w:eastAsia="Times New Roman" w:cs="Times New Roman"/>
          <w:b w:val="0"/>
          <w:sz w:val="24"/>
        </w:rPr>
        <w:t>28 U.S.C. § 1406(</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"Although this section does not specifically mention Title 11 bankruptcy cases, its broad language plainly encompasses all improperly venued cases of whatever variety." Thompson v. Greenwood, 507 F.3d 416, 419 (6th Cir. 2007); In re Houghton Mifflin Harcourt Publ'g Co., 474 B.R. 122, 133 (Bankr. S.D.N.Y. 2012) ("The majority view is that § 1406 applies to cases under the Bankruptcy Code, and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court lacks authority to retain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that fails to satisfy § 1408 requirements over the timely objection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interested party."). Thus, under Section 1406, the bankruptcy court must dismiss or, if in the interests of justice, transfer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case.</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Bankruptcy Rule 1014(</w:t>
      </w:r>
      <w:r>
        <w:rPr>
          <w:rFonts w:ascii="Times New Roman" w:hAnsi="Times New Roman" w:eastAsia="Times New Roman" w:cs="Times New Roman"/>
          <w:b/>
          <w:sz w:val="24"/>
        </w:rPr>
        <w:t>a</w:t>
      </w:r>
      <w:r>
        <w:rPr>
          <w:rFonts w:ascii="Times New Roman" w:hAnsi="Times New Roman" w:eastAsia="Times New Roman" w:cs="Times New Roman"/>
          <w:b w:val="0"/>
          <w:sz w:val="24"/>
        </w:rPr>
        <w:t>)(2) similarly provides: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is filed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improper district, the court, on the timely motion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 interest or on its own motion, and after hearing on notice to the petitioners, the United States trustee, and other entities as directed by the court, may dismiss the case or transfer it to any other district if the court determines that transfer is in the interest of justice or for the convenience of the parties.</w:t>
      </w:r>
    </w:p>
    <w:p>
      <w:pPr>
        <w:keepNext w:val="0"/>
        <w:spacing w:before="200" w:after="0" w:line="260" w:lineRule="exact"/>
        <w:ind w:left="1080" w:right="0" w:firstLine="0"/>
        <w:jc w:val="both"/>
      </w:pPr>
      <w:r>
        <w:rPr>
          <w:rFonts w:ascii="Times New Roman" w:hAnsi="Times New Roman" w:eastAsia="Times New Roman" w:cs="Times New Roman"/>
          <w:b w:val="0"/>
          <w:sz w:val="24"/>
        </w:rPr>
        <w:t>Fed. R. Bankr. P. 1014(</w:t>
      </w:r>
      <w:r>
        <w:rPr>
          <w:rFonts w:ascii="Times New Roman" w:hAnsi="Times New Roman" w:eastAsia="Times New Roman" w:cs="Times New Roman"/>
          <w:b/>
          <w:sz w:val="24"/>
        </w:rPr>
        <w:t>a</w:t>
      </w:r>
      <w:r>
        <w:rPr>
          <w:rFonts w:ascii="Times New Roman" w:hAnsi="Times New Roman" w:eastAsia="Times New Roman" w:cs="Times New Roman"/>
          <w:b w:val="0"/>
          <w:sz w:val="24"/>
        </w:rPr>
        <w:t>)(2). Although Bankruptcy Rule 1014(</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provides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"may" dismiss or transfer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improperly venued case, courts [in this district] hold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court cannot retain such cases because the statute (i.e., Section 1406) prevails when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statute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or bankruptcy rule. See Fed. R. Bankr. P. 9030 ("These rules shall not be construed to extend or limit the . . . venue of any matters therein"); see also MacDonald v. Greenwood (In re MacDonald), 356 B.R. 416, 428 (W.D. Tenn. 2006) ("Fed. R. Bankr. P. 1014(</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should be interpreted to authorize the transfer of cases only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district in which it could have been properly brought under 28 U.S.C. § 1408, in conformity with the Rule's enabling provision, 28 U.S.C. § 1406"). Thus, upon finding of improper venue, the bankruptcy court must dismiss or transfer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(if in the interest of justice) as required under Section 1406(</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party seeking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venue bears the burden of proof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preponderance of the evidence that such relief should be granted. In re Rehoboth Hosp., LP, 2011 Bankr. LEXIS 3992, at *10 (Bankr. D. Del. Oct. 19, 2011).</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Here, the Debtors' cases were filed in the wrong court and, therefore, the Court must dismiss or transfer the Cases to the United States Bankruptcy Court for the [District] of [State] (the "[</w:t>
      </w:r>
      <w:r>
        <w:rPr>
          <w:rFonts w:ascii="Times New Roman" w:hAnsi="Times New Roman" w:eastAsia="Times New Roman" w:cs="Times New Roman"/>
          <w:b w:val="0"/>
          <w:sz w:val="24"/>
        </w:rPr>
        <w:t>Transfer Court</w:t>
      </w:r>
      <w:r>
        <w:rPr>
          <w:rFonts w:ascii="Times New Roman" w:hAnsi="Times New Roman" w:eastAsia="Times New Roman" w:cs="Times New Roman"/>
          <w:b w:val="0"/>
          <w:sz w:val="24"/>
        </w:rPr>
        <w:t>]") because venue is proper in that district.</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 is not Proper in the [Current Court]</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Venue is not proper in the [Current Court] under any of the venue options contained in Section 1408 of Title 28. First, none of the Debtors are incorporated in the [current venue state]. Rather, the Debtors are incorporated in [add State]. See Dunmore Homes, Inc., 380 B.R. 663, 670 (Bankr. S.D.N.Y. 2008)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corporation's domicile is generally held to be its state of incorporation").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Second, venue is improper in the [Current Court] because Debtors' principal place of business is [State]. The Supreme Court has held that the so-called nerve center test should be used to determine the principal place of business. Hertz Corp. v. Friend, 559 U.S. 77, 80–81 (2010). This requires the court to look at "the center of overall direction, control, and coordination" of the business. Id. at 96. Therefore,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debtor's principal place of business can only be one location. In this case, [facts/case law]. Therefore, the Debtors' principal place of business lies outside of [current venue state].</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Furthermore, the Debtors' principal assets are not located in the [current venue state]. [facts].</w:t>
      </w:r>
    </w:p>
    <w:p>
      <w:pPr>
        <w:keepNext w:val="0"/>
        <w:spacing w:before="120" w:after="0" w:line="260" w:lineRule="exact"/>
        <w:ind w:left="1080" w:right="0" w:firstLine="0"/>
        <w:jc w:val="left"/>
      </w:pPr>
      <w:r>
        <w:rPr>
          <w:rFonts w:ascii="Times New Roman" w:hAnsi="Times New Roman" w:eastAsia="Times New Roman" w:cs="Times New Roman"/>
          <w:b w:val="0"/>
          <w:sz w:val="24"/>
        </w:rPr>
        <w:t>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Thus, the Debtors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have absolutely no material connection to [current venue state]. Accordingly, venue of the Debtors' bankruptcy cases in the [Current Court] is entirely inappropriate.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Court Must Dismiss or Transfer the Cases.</w:t>
      </w:r>
    </w:p>
    <w:p>
      <w:pPr>
        <w:keepNext w:val="0"/>
        <w:spacing w:before="120" w:after="0" w:line="260" w:lineRule="exact"/>
        <w:ind w:left="1080" w:right="0" w:firstLine="0"/>
        <w:jc w:val="left"/>
      </w:pPr>
      <w:r>
        <w:rPr>
          <w:rFonts w:ascii="Times New Roman" w:hAnsi="Times New Roman" w:eastAsia="Times New Roman" w:cs="Times New Roman"/>
          <w:b w:val="0"/>
          <w:sz w:val="24"/>
        </w:rPr>
        <w:t>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Since venue is improper in the [Current Court], the Court must dismiss or, if in the interests of justice, transfer the Cases. The question of whether to dismiss or transfer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is within the court's discretion. Blagg v. Miller (In re Blagg), 223 B.R. 795, 804 (B.</w:t>
      </w:r>
      <w:r>
        <w:rPr>
          <w:rFonts w:ascii="Times New Roman" w:hAnsi="Times New Roman" w:eastAsia="Times New Roman" w:cs="Times New Roman"/>
          <w:b/>
          <w:sz w:val="24"/>
        </w:rPr>
        <w:t>A</w:t>
      </w:r>
      <w:r>
        <w:rPr>
          <w:rFonts w:ascii="Times New Roman" w:hAnsi="Times New Roman" w:eastAsia="Times New Roman" w:cs="Times New Roman"/>
          <w:b w:val="0"/>
          <w:sz w:val="24"/>
        </w:rPr>
        <w:t>.P. 10th Cir. Okla. 1998). The Court should dismiss the Cases because [reasons.]</w:t>
      </w:r>
    </w:p>
    <w:p>
      <w:pPr>
        <w:keepNext w:val="0"/>
        <w:spacing w:before="120" w:after="0" w:line="260" w:lineRule="exact"/>
        <w:ind w:left="1080" w:right="0" w:firstLine="0"/>
        <w:jc w:val="left"/>
      </w:pPr>
      <w:r>
        <w:rPr>
          <w:rFonts w:ascii="Times New Roman" w:hAnsi="Times New Roman" w:eastAsia="Times New Roman" w:cs="Times New Roman"/>
          <w:b w:val="0"/>
          <w:sz w:val="24"/>
        </w:rPr>
        <w:t>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decides against dismissing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for improper venue, the court must then transfer the case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district where venue is proper. Section 1406 allows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to transfer venue (as opposed to dismissing the case) where such transfer is in the interest of justice. When considering the "interests of justice," courts apply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broad and flexible standard and consider whether transferring venue will "promote the efficient administration of the estate, judicial economy, timeliness, and fairness." In re PermaLife Prods., LLC, 432 B.R. 503, 517 (Bankr. D.N.J. 2010). Absent dismissal, the Court should transfer the Cases to the [Transfer Court]. As discussed above, venue is proper in the [Transfer Court].</w:t>
      </w:r>
    </w:p>
    <w:p>
      <w:pPr>
        <w:keepNext w:val="0"/>
        <w:spacing w:before="120" w:after="0" w:line="260" w:lineRule="exact"/>
        <w:ind w:left="720" w:right="0" w:firstLine="0"/>
        <w:jc w:val="left"/>
      </w:pPr>
      <w:r>
        <w:rPr>
          <w:rFonts w:ascii="Times New Roman" w:hAnsi="Times New Roman" w:eastAsia="Times New Roman" w:cs="Times New Roman"/>
          <w:b/>
          <w:sz w:val="24"/>
        </w:rPr>
        <w:t>PROCEDURE</w:t>
      </w:r>
    </w:p>
    <w:p>
      <w:pPr>
        <w:keepNext w:val="0"/>
        <w:spacing w:before="120" w:after="0" w:line="260" w:lineRule="exact"/>
        <w:ind w:left="1080" w:right="0" w:firstLine="0"/>
        <w:jc w:val="left"/>
      </w:pPr>
      <w:r>
        <w:rPr>
          <w:rFonts w:ascii="Times New Roman" w:hAnsi="Times New Roman" w:eastAsia="Times New Roman" w:cs="Times New Roman"/>
          <w:b w:val="0"/>
          <w:sz w:val="24"/>
        </w:rPr>
        <w:t>20.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previous request for the relief sought herein has been made to this or any other Court.</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Movant has provided notice of this Motion by facsimile and, where practicable, email and/or overnight mail to: [Notice Parties]. Due to the nature of the relief requested herein, Movant respectfully submits that no further notice of this Motion is required.</w:t>
      </w:r>
    </w:p>
    <w:p>
      <w:pPr>
        <w:keepNext w:val="0"/>
        <w:spacing w:before="120" w:after="0" w:line="260" w:lineRule="exact"/>
        <w:ind w:left="720" w:right="0" w:firstLine="0"/>
        <w:jc w:val="left"/>
      </w:pPr>
      <w:r>
        <w:rPr>
          <w:rFonts w:ascii="Times New Roman" w:hAnsi="Times New Roman" w:eastAsia="Times New Roman" w:cs="Times New Roman"/>
          <w:b/>
          <w:sz w:val="24"/>
        </w:rPr>
        <w:t>CONCLUSION</w:t>
      </w:r>
    </w:p>
    <w:p>
      <w:pPr>
        <w:keepNext w:val="0"/>
        <w:spacing w:before="200" w:after="0" w:line="260" w:lineRule="exact"/>
        <w:ind w:left="1080" w:right="0" w:firstLine="0"/>
        <w:jc w:val="both"/>
      </w:pPr>
      <w:r>
        <w:rPr>
          <w:rFonts w:ascii="Times New Roman" w:hAnsi="Times New Roman" w:eastAsia="Times New Roman" w:cs="Times New Roman"/>
          <w:b/>
          <w:sz w:val="24"/>
        </w:rPr>
        <w:t>WHEREFORE</w:t>
      </w:r>
      <w:r>
        <w:rPr>
          <w:rFonts w:ascii="Times New Roman" w:hAnsi="Times New Roman" w:eastAsia="Times New Roman" w:cs="Times New Roman"/>
          <w:b w:val="0"/>
          <w:sz w:val="24"/>
        </w:rPr>
        <w:t xml:space="preserve">, Movant respectfully requests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(i) substantially in the form annexed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dismissing the Cases for improper venue, or alternatively, (ii) substantially in the form annexed hereto as Exhibit B, transferring the Cases for improper venue, and (iii) grant such other and further relief as the Court deems appropriate.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[city, state]</w:t>
      </w:r>
    </w:p>
    <w:p>
      <w:pPr>
        <w:keepNext w:val="0"/>
        <w:spacing w:before="200" w:after="0" w:line="260" w:lineRule="exact"/>
        <w:ind w:left="360" w:right="0" w:firstLine="0"/>
        <w:jc w:val="both"/>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[Law firm]</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line]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[fax]</w:t>
      </w:r>
    </w:p>
    <w:p>
      <w:pPr>
        <w:keepNext w:val="0"/>
        <w:spacing w:before="120" w:after="0" w:line="260" w:lineRule="exact"/>
        <w:ind w:left="360" w:right="0" w:firstLine="0"/>
        <w:jc w:val="left"/>
      </w:pPr>
      <w:r>
        <w:rPr>
          <w:rFonts w:ascii="Times New Roman" w:hAnsi="Times New Roman" w:eastAsia="Times New Roman" w:cs="Times New Roman"/>
          <w:b w:val="0"/>
          <w:sz w:val="24"/>
        </w:rPr>
        <w:t>[email]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