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UNITED STATES BANKRUPTCY COURT</w:t>
      </w:r>
    </w:p>
    <w:p>
      <w:pPr/>
      <w:r>
        <w:rPr>
          <w:rFonts w:ascii="Times New Roman" w:hAnsi="Times New Roman" w:eastAsia="Times New Roman" w:cs="Times New Roman"/>
          <w:sz w:val="24"/>
        </w:rPr>
        <w:t>FOR THE [DISTRICT]</w:t>
      </w:r>
    </w:p>
    <w:p>
      <w:pPr/>
    </w:p>
    <w:p>
      <w:pPr/>
    </w:p>
    <w:p>
      <w:pPr/>
      <w:r>
        <w:rPr>
          <w:rFonts w:ascii="Times New Roman" w:hAnsi="Times New Roman" w:eastAsia="Times New Roman" w:cs="Times New Roman"/>
          <w:sz w:val="24"/>
        </w:rPr>
        <w:t>MOTION OF [MOVANT'S NAME] FOR ENTRY OF AN</w:t>
      </w:r>
    </w:p>
    <w:p>
      <w:pPr/>
      <w:r>
        <w:rPr>
          <w:rFonts w:ascii="Times New Roman" w:hAnsi="Times New Roman" w:eastAsia="Times New Roman" w:cs="Times New Roman"/>
          <w:sz w:val="24"/>
        </w:rPr>
        <w:t>ORDER GRANTING RELIEF FROM THE AUTOMATIC STAY</w:t>
      </w:r>
    </w:p>
    <w:p>
      <w:pPr/>
      <w:r>
        <w:rPr>
          <w:rFonts w:ascii="Times New Roman" w:hAnsi="Times New Roman" w:eastAsia="Times New Roman" w:cs="Times New Roman"/>
          <w:sz w:val="24"/>
        </w:rPr>
        <w:t>[Name] [(the "</w:t>
      </w:r>
      <w:r>
        <w:rPr>
          <w:rFonts w:ascii="Times New Roman" w:hAnsi="Times New Roman" w:eastAsia="Times New Roman" w:cs="Times New Roman"/>
          <w:sz w:val="24"/>
        </w:rPr>
        <w:t>Movant</w:t>
      </w:r>
      <w:r>
        <w:rPr>
          <w:rFonts w:ascii="Times New Roman" w:hAnsi="Times New Roman" w:eastAsia="Times New Roman" w:cs="Times New Roman"/>
          <w:sz w:val="24"/>
        </w:rPr>
        <w:t>")], by and through its undersigned counsel, hereby files this motion (the "</w:t>
      </w:r>
      <w:r>
        <w:rPr>
          <w:rFonts w:ascii="Times New Roman" w:hAnsi="Times New Roman" w:eastAsia="Times New Roman" w:cs="Times New Roman"/>
          <w:sz w:val="24"/>
        </w:rPr>
        <w:t>Motion</w:t>
      </w:r>
      <w:r>
        <w:rPr>
          <w:rFonts w:ascii="Times New Roman" w:hAnsi="Times New Roman" w:eastAsia="Times New Roman" w:cs="Times New Roman"/>
          <w:sz w:val="24"/>
        </w:rPr>
        <w:t>") for entry of an order substantially in the form attached hereto as Exhibit A, pursuant to Section 362(d)(2) of title 11 of the United States Code (the "</w:t>
      </w:r>
      <w:r>
        <w:rPr>
          <w:rFonts w:ascii="Times New Roman" w:hAnsi="Times New Roman" w:eastAsia="Times New Roman" w:cs="Times New Roman"/>
          <w:sz w:val="24"/>
        </w:rPr>
        <w:t>Bankruptcy Code</w:t>
      </w:r>
      <w:r>
        <w:rPr>
          <w:rFonts w:ascii="Times New Roman" w:hAnsi="Times New Roman" w:eastAsia="Times New Roman" w:cs="Times New Roman"/>
          <w:sz w:val="24"/>
        </w:rPr>
        <w:t>") and Rule 4001(a)(1) of the Federal Rules of Bankruptcy Procedure (the "</w:t>
      </w:r>
      <w:r>
        <w:rPr>
          <w:rFonts w:ascii="Times New Roman" w:hAnsi="Times New Roman" w:eastAsia="Times New Roman" w:cs="Times New Roman"/>
          <w:sz w:val="24"/>
        </w:rPr>
        <w:t>Bankruptcy Rules</w:t>
      </w:r>
      <w:r>
        <w:rPr>
          <w:rFonts w:ascii="Times New Roman" w:hAnsi="Times New Roman" w:eastAsia="Times New Roman" w:cs="Times New Roman"/>
          <w:sz w:val="24"/>
        </w:rPr>
        <w:t>") granting relief from the automatic stay for lack of equity in property that is unnecessary for effective reorganization to [describe actions], and in support hereof, Movant respectfully states as follows:</w:t>
      </w:r>
    </w:p>
    <w:p>
      <w:pPr>
        <w:jc w:val="center"/>
      </w:pPr>
      <w:r>
        <w:rPr>
          <w:rFonts w:ascii="Times New Roman" w:hAnsi="Times New Roman" w:eastAsia="Times New Roman" w:cs="Times New Roman"/>
          <w:sz w:val="24"/>
        </w:rPr>
        <w:t>PRELIMINARY STATEMENT</w:t>
      </w:r>
    </w:p>
    <w:p>
      <w:pPr/>
      <w:r>
        <w:rPr>
          <w:rFonts w:ascii="Times New Roman" w:hAnsi="Times New Roman" w:eastAsia="Times New Roman" w:cs="Times New Roman"/>
          <w:sz w:val="24"/>
        </w:rPr>
        <w:t>[briefly describe the motion and the reasons for relief]</w:t>
      </w:r>
    </w:p>
    <w:p>
      <w:pPr>
        <w:jc w:val="center"/>
      </w:pPr>
      <w:r>
        <w:rPr>
          <w:rFonts w:ascii="Times New Roman" w:hAnsi="Times New Roman" w:eastAsia="Times New Roman" w:cs="Times New Roman"/>
          <w:sz w:val="24"/>
        </w:rPr>
        <w:t>JURISDICTION AND VENUE</w:t>
      </w:r>
    </w:p>
    <w:p>
      <w:pPr/>
      <w:r>
        <w:rPr>
          <w:rFonts w:ascii="Times New Roman" w:hAnsi="Times New Roman" w:eastAsia="Times New Roman" w:cs="Times New Roman"/>
          <w:sz w:val="24"/>
        </w:rPr>
        <w:t>This Court has jurisdiction over the Motion pursuant to 28 U.S.C. §§ 157 and 1334.  This is a core proceeding pursuant to 28 U.S.C. § 157(b). Venue is proper in this Court pursuant to 28 U.S.C. §§ 1408 and 1409.</w:t>
      </w:r>
    </w:p>
    <w:p>
      <w:pPr>
        <w:jc w:val="center"/>
      </w:pPr>
      <w:r>
        <w:rPr>
          <w:rFonts w:ascii="Times New Roman" w:hAnsi="Times New Roman" w:eastAsia="Times New Roman" w:cs="Times New Roman"/>
          <w:sz w:val="24"/>
        </w:rPr>
        <w:t>BACKGROUND</w:t>
      </w:r>
    </w:p>
    <w:p>
      <w:pPr/>
      <w:r>
        <w:rPr>
          <w:rFonts w:ascii="Times New Roman" w:hAnsi="Times New Roman" w:eastAsia="Times New Roman" w:cs="Times New Roman"/>
          <w:sz w:val="24"/>
        </w:rPr>
        <w:t xml:space="preserve">On [Month Day, </w:t>
      </w:r>
      <w:r>
        <w:rPr>
          <w:rFonts w:ascii="Times New Roman" w:hAnsi="Times New Roman" w:eastAsia="Times New Roman" w:cs="Times New Roman"/>
          <w:sz w:val="24"/>
        </w:rPr>
        <w:t>_____</w:t>
      </w:r>
      <w:r>
        <w:rPr>
          <w:rFonts w:ascii="Times New Roman" w:hAnsi="Times New Roman" w:eastAsia="Times New Roman" w:cs="Times New Roman"/>
          <w:sz w:val="24"/>
        </w:rPr>
        <w:t>] (the "</w:t>
      </w:r>
      <w:r>
        <w:rPr>
          <w:rFonts w:ascii="Times New Roman" w:hAnsi="Times New Roman" w:eastAsia="Times New Roman" w:cs="Times New Roman"/>
          <w:sz w:val="24"/>
        </w:rPr>
        <w:t>Petition Date</w:t>
      </w:r>
      <w:r>
        <w:rPr>
          <w:rFonts w:ascii="Times New Roman" w:hAnsi="Times New Roman" w:eastAsia="Times New Roman" w:cs="Times New Roman"/>
          <w:sz w:val="24"/>
        </w:rPr>
        <w:t>"), the above-captioned debtors and debtors in possession (collectively, the "</w:t>
      </w:r>
      <w:r>
        <w:rPr>
          <w:rFonts w:ascii="Times New Roman" w:hAnsi="Times New Roman" w:eastAsia="Times New Roman" w:cs="Times New Roman"/>
          <w:sz w:val="24"/>
        </w:rPr>
        <w:t>Debtors</w:t>
      </w:r>
      <w:r>
        <w:rPr>
          <w:rFonts w:ascii="Times New Roman" w:hAnsi="Times New Roman" w:eastAsia="Times New Roman" w:cs="Times New Roman"/>
          <w:sz w:val="24"/>
        </w:rPr>
        <w:t>") filed petitions for relief under Chapter 11 of the Bankruptcy Code. The Debtors are operating their businesses and managing their property as debtors in possession pursuant to Sections 1107(a) and 1108 of the Bankruptcy Code.</w:t>
      </w:r>
    </w:p>
    <w:p>
      <w:pPr/>
      <w:r>
        <w:rPr>
          <w:rFonts w:ascii="Times New Roman" w:hAnsi="Times New Roman" w:eastAsia="Times New Roman" w:cs="Times New Roman"/>
          <w:sz w:val="24"/>
        </w:rPr>
        <w:t xml:space="preserve">The Debtors and Movant executed that certain [loan agreement name], dated [Month Day, </w:t>
      </w:r>
      <w:r>
        <w:rPr>
          <w:rFonts w:ascii="Times New Roman" w:hAnsi="Times New Roman" w:eastAsia="Times New Roman" w:cs="Times New Roman"/>
          <w:sz w:val="24"/>
        </w:rPr>
        <w:t>_____</w:t>
      </w:r>
      <w:r>
        <w:rPr>
          <w:rFonts w:ascii="Times New Roman" w:hAnsi="Times New Roman" w:eastAsia="Times New Roman" w:cs="Times New Roman"/>
          <w:sz w:val="24"/>
        </w:rPr>
        <w:t>] (as amended, modified or supplemented from time to time, the "</w:t>
      </w:r>
      <w:r>
        <w:rPr>
          <w:rFonts w:ascii="Times New Roman" w:hAnsi="Times New Roman" w:eastAsia="Times New Roman" w:cs="Times New Roman"/>
          <w:sz w:val="24"/>
        </w:rPr>
        <w:t>Loan Agreement</w:t>
      </w:r>
      <w:r>
        <w:rPr>
          <w:rFonts w:ascii="Times New Roman" w:hAnsi="Times New Roman" w:eastAsia="Times New Roman" w:cs="Times New Roman"/>
          <w:sz w:val="24"/>
        </w:rPr>
        <w:t xml:space="preserve">"). A </w:t>
      </w:r>
      <w:r>
        <w:rPr>
          <w:rFonts w:ascii="Times New Roman" w:hAnsi="Times New Roman" w:eastAsia="Times New Roman" w:cs="Times New Roman"/>
          <w:sz w:val="24"/>
        </w:rPr>
        <w:t>true and correct copy of the Loan Agreement is attached to the accompanying Declaration of [name] (the "</w:t>
      </w:r>
      <w:r>
        <w:rPr>
          <w:rFonts w:ascii="Times New Roman" w:hAnsi="Times New Roman" w:eastAsia="Times New Roman" w:cs="Times New Roman"/>
          <w:sz w:val="24"/>
        </w:rPr>
        <w:t>Declaration</w:t>
      </w:r>
      <w:r>
        <w:rPr>
          <w:rFonts w:ascii="Times New Roman" w:hAnsi="Times New Roman" w:eastAsia="Times New Roman" w:cs="Times New Roman"/>
          <w:sz w:val="24"/>
        </w:rPr>
        <w:t>") as Exhibit 1. Pursuant to the Loan Agreement, the Debtors, upon the terms and conditions set forth therein, obtained certain loans (the "</w:t>
      </w:r>
      <w:r>
        <w:rPr>
          <w:rFonts w:ascii="Times New Roman" w:hAnsi="Times New Roman" w:eastAsia="Times New Roman" w:cs="Times New Roman"/>
          <w:sz w:val="24"/>
        </w:rPr>
        <w:t>Loans</w:t>
      </w:r>
      <w:r>
        <w:rPr>
          <w:rFonts w:ascii="Times New Roman" w:hAnsi="Times New Roman" w:eastAsia="Times New Roman" w:cs="Times New Roman"/>
          <w:sz w:val="24"/>
        </w:rPr>
        <w:t>") and other financial accommodations, as evidenced by promissory notes (the "</w:t>
      </w:r>
      <w:r>
        <w:rPr>
          <w:rFonts w:ascii="Times New Roman" w:hAnsi="Times New Roman" w:eastAsia="Times New Roman" w:cs="Times New Roman"/>
          <w:sz w:val="24"/>
        </w:rPr>
        <w:t>Notes</w:t>
      </w:r>
      <w:r>
        <w:rPr>
          <w:rFonts w:ascii="Times New Roman" w:hAnsi="Times New Roman" w:eastAsia="Times New Roman" w:cs="Times New Roman"/>
          <w:sz w:val="24"/>
        </w:rPr>
        <w:t>") executed and delivered by the Debtors to the Movant in connection therewith.</w:t>
      </w:r>
    </w:p>
    <w:p>
      <w:pPr/>
      <w:r>
        <w:rPr>
          <w:rFonts w:ascii="Times New Roman" w:hAnsi="Times New Roman" w:eastAsia="Times New Roman" w:cs="Times New Roman"/>
          <w:sz w:val="24"/>
        </w:rPr>
        <w:t>To secure the repayment of the Loans made by Movant under the Loan Agreement, [each Debtor] executed a security agreement in favor of Movant (collectively, the "</w:t>
      </w:r>
      <w:r>
        <w:rPr>
          <w:rFonts w:ascii="Times New Roman" w:hAnsi="Times New Roman" w:eastAsia="Times New Roman" w:cs="Times New Roman"/>
          <w:sz w:val="24"/>
        </w:rPr>
        <w:t>Security Agreements</w:t>
      </w:r>
      <w:r>
        <w:rPr>
          <w:rFonts w:ascii="Times New Roman" w:hAnsi="Times New Roman" w:eastAsia="Times New Roman" w:cs="Times New Roman"/>
          <w:sz w:val="24"/>
        </w:rPr>
        <w:t>" and together with the Loan Agreement and the Notes, the "</w:t>
      </w:r>
      <w:r>
        <w:rPr>
          <w:rFonts w:ascii="Times New Roman" w:hAnsi="Times New Roman" w:eastAsia="Times New Roman" w:cs="Times New Roman"/>
          <w:sz w:val="24"/>
        </w:rPr>
        <w:t>Loan Documents</w:t>
      </w:r>
      <w:r>
        <w:rPr>
          <w:rFonts w:ascii="Times New Roman" w:hAnsi="Times New Roman" w:eastAsia="Times New Roman" w:cs="Times New Roman"/>
          <w:sz w:val="24"/>
        </w:rPr>
        <w:t>"). A true and correct copy of the Security Agreements are attached to the Declaration as Exhibit 2. The Security Agreements grant Movant a [first] priority security interest in, and lien upon, [describe assets] (the "</w:t>
      </w:r>
      <w:r>
        <w:rPr>
          <w:rFonts w:ascii="Times New Roman" w:hAnsi="Times New Roman" w:eastAsia="Times New Roman" w:cs="Times New Roman"/>
          <w:sz w:val="24"/>
        </w:rPr>
        <w:t>Property</w:t>
      </w:r>
      <w:r>
        <w:rPr>
          <w:rFonts w:ascii="Times New Roman" w:hAnsi="Times New Roman" w:eastAsia="Times New Roman" w:cs="Times New Roman"/>
          <w:sz w:val="24"/>
        </w:rPr>
        <w:t>"). Movant duly perfected its security interests in the Property by filing Uniform Commercial Code (UCC) financing statements with the appropriate authorities. A true and correct copy of the UCC financing statements are attached to the Declaration as Exhibit 3.</w:t>
      </w:r>
    </w:p>
    <w:p>
      <w:pPr/>
      <w:r>
        <w:rPr>
          <w:rFonts w:ascii="Times New Roman" w:hAnsi="Times New Roman" w:eastAsia="Times New Roman" w:cs="Times New Roman"/>
          <w:sz w:val="24"/>
        </w:rPr>
        <w:t>As of the Petition Date, the total indebtedness due and owing by the Debtors with respect to its obligations under the Loan Documents is [amount]. [detail any other liens on the debtor's property] (collectively, the "</w:t>
      </w:r>
      <w:r>
        <w:rPr>
          <w:rFonts w:ascii="Times New Roman" w:hAnsi="Times New Roman" w:eastAsia="Times New Roman" w:cs="Times New Roman"/>
          <w:sz w:val="24"/>
        </w:rPr>
        <w:t>Indebtedness</w:t>
      </w:r>
      <w:r>
        <w:rPr>
          <w:rFonts w:ascii="Times New Roman" w:hAnsi="Times New Roman" w:eastAsia="Times New Roman" w:cs="Times New Roman"/>
          <w:sz w:val="24"/>
        </w:rPr>
        <w:t>").</w:t>
      </w:r>
    </w:p>
    <w:p>
      <w:pPr/>
      <w:r>
        <w:rPr>
          <w:rFonts w:ascii="Times New Roman" w:hAnsi="Times New Roman" w:eastAsia="Times New Roman" w:cs="Times New Roman"/>
          <w:sz w:val="24"/>
        </w:rPr>
        <w:t>As set forth in the [name of appraiser's report] (the "</w:t>
      </w:r>
      <w:r>
        <w:rPr>
          <w:rFonts w:ascii="Times New Roman" w:hAnsi="Times New Roman" w:eastAsia="Times New Roman" w:cs="Times New Roman"/>
          <w:sz w:val="24"/>
        </w:rPr>
        <w:t>Appraisal Report</w:t>
      </w:r>
      <w:r>
        <w:rPr>
          <w:rFonts w:ascii="Times New Roman" w:hAnsi="Times New Roman" w:eastAsia="Times New Roman" w:cs="Times New Roman"/>
          <w:sz w:val="24"/>
        </w:rPr>
        <w:t>"), the present fair market value of the Property is $[number]. [cite to report page]. A true and correct copy of the Appraisal Report is attached to the Declaration as Exhibit 4. This amount is significantly less than the Indebtedness. Accordingly, there is no equity in the Property.</w:t>
      </w:r>
    </w:p>
    <w:p>
      <w:pPr/>
      <w:r>
        <w:rPr>
          <w:rFonts w:ascii="Times New Roman" w:hAnsi="Times New Roman" w:eastAsia="Times New Roman" w:cs="Times New Roman"/>
          <w:sz w:val="24"/>
        </w:rPr>
        <w:t>The Debtors have not filed a plan of reorganization. The Debtors have had [number of] [months] to attempt to solve its financial problems. However, no solutions are in sight. [add detail].</w:t>
      </w:r>
    </w:p>
    <w:p>
      <w:pPr>
        <w:jc w:val="center"/>
      </w:pPr>
      <w:r>
        <w:rPr>
          <w:rFonts w:ascii="Times New Roman" w:hAnsi="Times New Roman" w:eastAsia="Times New Roman" w:cs="Times New Roman"/>
          <w:sz w:val="24"/>
        </w:rPr>
        <w:t>RELIEF REQUESTED</w:t>
      </w:r>
    </w:p>
    <w:p>
      <w:pPr/>
      <w:r>
        <w:rPr>
          <w:rFonts w:ascii="Times New Roman" w:hAnsi="Times New Roman" w:eastAsia="Times New Roman" w:cs="Times New Roman"/>
          <w:sz w:val="24"/>
        </w:rPr>
        <w:t>By this Motion, the Movant respectfully requests entry of an order, pursuant to Section 362(d)(2) of the Bankruptcy Code and Bankruptcy Rule 4001(a)(1), granting relief from the automatic stay for lack of equity in property that is unnecessary for effective reorganization to [describe actions], and such further relief to the Movant as is appropriate.</w:t>
      </w:r>
    </w:p>
    <w:p>
      <w:pPr>
        <w:jc w:val="center"/>
      </w:pPr>
      <w:r>
        <w:rPr>
          <w:rFonts w:ascii="Times New Roman" w:hAnsi="Times New Roman" w:eastAsia="Times New Roman" w:cs="Times New Roman"/>
          <w:sz w:val="24"/>
        </w:rPr>
        <w:t>BASIS FOR RELIEF</w:t>
      </w:r>
    </w:p>
    <w:p>
      <w:pPr/>
      <w:r>
        <w:rPr>
          <w:rFonts w:ascii="Times New Roman" w:hAnsi="Times New Roman" w:eastAsia="Times New Roman" w:cs="Times New Roman"/>
          <w:sz w:val="24"/>
        </w:rPr>
        <w:t>Relief from the automatic stay of Section 362(a) is governed by Section 362(d). Section 362(d)(2) reads, in pertinent part, as follows:</w:t>
      </w:r>
    </w:p>
    <w:p>
      <w:pPr/>
      <w:r>
        <w:rPr>
          <w:rFonts w:ascii="Times New Roman" w:hAnsi="Times New Roman" w:eastAsia="Times New Roman" w:cs="Times New Roman"/>
          <w:sz w:val="24"/>
        </w:rPr>
        <w:t>On request of a party in interest and after notice and a hearing, the court shall grant relief from the stay provided under subsection (a) of this section, such as by terminating, annulling, modifying, or conditioning such stay—</w:t>
      </w:r>
    </w:p>
    <w:p>
      <w:pPr/>
      <w:r>
        <w:rPr>
          <w:rFonts w:ascii="Times New Roman" w:hAnsi="Times New Roman" w:eastAsia="Times New Roman" w:cs="Times New Roman"/>
          <w:sz w:val="24"/>
        </w:rPr>
        <w:t>* * *</w:t>
      </w:r>
    </w:p>
    <w:p>
      <w:pPr/>
      <w:r>
        <w:rPr>
          <w:rFonts w:ascii="Times New Roman" w:hAnsi="Times New Roman" w:eastAsia="Times New Roman" w:cs="Times New Roman"/>
          <w:sz w:val="24"/>
        </w:rPr>
        <w:t>with respect to a stay of an act against property under subsection (a) of this section, if--</w:t>
      </w:r>
    </w:p>
    <w:p>
      <w:pPr/>
      <w:r>
        <w:rPr>
          <w:rFonts w:ascii="Times New Roman" w:hAnsi="Times New Roman" w:eastAsia="Times New Roman" w:cs="Times New Roman"/>
          <w:sz w:val="24"/>
        </w:rPr>
        <w:t>the debtor does not have an equity in such property; and</w:t>
      </w:r>
    </w:p>
    <w:p>
      <w:pPr/>
      <w:r>
        <w:rPr>
          <w:rFonts w:ascii="Times New Roman" w:hAnsi="Times New Roman" w:eastAsia="Times New Roman" w:cs="Times New Roman"/>
          <w:sz w:val="24"/>
        </w:rPr>
        <w:t>such property is not necessary to an effective reorganization;</w:t>
      </w:r>
    </w:p>
    <w:p>
      <w:pPr/>
      <w:r>
        <w:rPr>
          <w:rFonts w:ascii="Times New Roman" w:hAnsi="Times New Roman" w:eastAsia="Times New Roman" w:cs="Times New Roman"/>
          <w:sz w:val="24"/>
        </w:rPr>
        <w:t xml:space="preserve">11 U.S.C. § 362(d)(2). Thus, subsection (d)(2) sets forth two elements or issues with respect to a stay against an act against property; (A) lack of equity and (B) lack of necessity for an effective reorganization. </w:t>
      </w:r>
    </w:p>
    <w:p>
      <w:pPr/>
      <w:r>
        <w:rPr>
          <w:rFonts w:ascii="Times New Roman" w:hAnsi="Times New Roman" w:eastAsia="Times New Roman" w:cs="Times New Roman"/>
          <w:sz w:val="24"/>
        </w:rPr>
        <w:t>Section 362(g) allocates the burden of proof in relief from stay matters to:</w:t>
      </w:r>
    </w:p>
    <w:p>
      <w:pPr/>
      <w:r>
        <w:rPr>
          <w:rFonts w:ascii="Times New Roman" w:hAnsi="Times New Roman" w:eastAsia="Times New Roman" w:cs="Times New Roman"/>
          <w:sz w:val="24"/>
        </w:rPr>
        <w:t>The party requesting relief … on the issue of the debtor's equity in the property; and</w:t>
      </w:r>
    </w:p>
    <w:p>
      <w:pPr/>
      <w:r>
        <w:rPr>
          <w:rFonts w:ascii="Times New Roman" w:hAnsi="Times New Roman" w:eastAsia="Times New Roman" w:cs="Times New Roman"/>
          <w:sz w:val="24"/>
        </w:rPr>
        <w:t>The party opposing such relief … on all other issues.</w:t>
      </w:r>
    </w:p>
    <w:p>
      <w:pPr/>
      <w:r>
        <w:rPr>
          <w:rFonts w:ascii="Times New Roman" w:hAnsi="Times New Roman" w:eastAsia="Times New Roman" w:cs="Times New Roman"/>
          <w:sz w:val="24"/>
        </w:rPr>
        <w:t>11 U.S.C. § 362(g). Reading subsections (d)(2) and (g) together, a secured creditor only has the burden of proof on the question of equity (i.e., that the debtor lacks equity in the property). The debtor must then prove that the property is necessary for an effective reorganization if it is to prevent the secured creditor from obtaining the requested relief. Sun Valley Ranches, Inc. v. The Equitable Life Insurance Society of the United States (In re Sun Valley Ranches, Inc.) 823 F.2d 1373, 1376 (9th Cir. 1987). As discussed below, the Debtors have no equity in the Property. Moreover, the Debtors cannot meet their burden of proving that the Property is necessary to an effective reorganization. Therefore, Movant must be granted relief from the automatic stay.</w:t>
      </w: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The Debtors have no Equity in the Property</w:t>
      </w:r>
    </w:p>
    <w:p>
      <w:pPr/>
      <w:r>
        <w:rPr>
          <w:rFonts w:ascii="Times New Roman" w:hAnsi="Times New Roman" w:eastAsia="Times New Roman" w:cs="Times New Roman"/>
          <w:sz w:val="24"/>
        </w:rPr>
        <w:t>For the purpose of determining whether the Debtors have equity in the Property, the court must look to the difference between the value of the Property and the total of all claims which it secures. Stewart v. Gurley (In re Gurley), 745 F.2d 1194, 1195-96 (9th Cir. 1984); see also Jordan v. Kroneberger (In re Jordan), 392 B.R. 428, 447 (Bankr. D. Idaho 2008) ("[i]n the context of stay relief, 'equity' exists if the value of the property exceeds all claims secured by such property, whether those claims belong to the moving creditor or others"). If the value of all the liens against the property exceeds the value of that property, the debtor has no equity in the property.</w:t>
      </w:r>
    </w:p>
    <w:p>
      <w:pPr/>
      <w:r>
        <w:rPr>
          <w:rFonts w:ascii="Times New Roman" w:hAnsi="Times New Roman" w:eastAsia="Times New Roman" w:cs="Times New Roman"/>
          <w:sz w:val="24"/>
        </w:rPr>
        <w:t>Movant's claim against the Debtors, secured by its liens on the Property, is $[amount]. The Indebtedness consisting of all other secured claims against the Property is $[amount]. Accordingly, the total liens against the Property are in the approximate amount of $[amount]. As set forth in the Appraisal Report, the present fair market value of the Property is only $[amount]. [add more facts]. Accordingly, the Debtors have no equity in the Property. Movant has therefore met its burden of proof under Section 362(d)(2)(A), and relief from the automatic stay must be granted to Movant if the Debtors fail to meet their burden that the Property is not necessary to an effective reorganization. [add cites]</w:t>
      </w: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The Property is not Necessary to an Effective Reorganization</w:t>
      </w:r>
    </w:p>
    <w:p>
      <w:pPr/>
      <w:r>
        <w:rPr>
          <w:rFonts w:ascii="Times New Roman" w:hAnsi="Times New Roman" w:eastAsia="Times New Roman" w:cs="Times New Roman"/>
          <w:sz w:val="24"/>
        </w:rPr>
        <w:t xml:space="preserve">The Debtors cannot prove that the Property is necessary to an effective reorganization. In determining whether the property is necessary for an effective reorganization, the court must </w:t>
      </w:r>
      <w:r>
        <w:rPr>
          <w:rFonts w:ascii="Times New Roman" w:hAnsi="Times New Roman" w:eastAsia="Times New Roman" w:cs="Times New Roman"/>
          <w:sz w:val="24"/>
        </w:rPr>
        <w:t xml:space="preserve">look to whether the debtor has a reasonable probability of successfully reorganizing within a reasonable time. In </w:t>
      </w:r>
      <w:r>
        <w:rPr>
          <w:rFonts w:ascii="Times New Roman" w:hAnsi="Times New Roman" w:eastAsia="Times New Roman" w:cs="Times New Roman"/>
          <w:sz w:val="24"/>
        </w:rPr>
        <w:t>Timbers</w:t>
      </w:r>
      <w:r>
        <w:rPr>
          <w:rFonts w:ascii="Times New Roman" w:hAnsi="Times New Roman" w:eastAsia="Times New Roman" w:cs="Times New Roman"/>
          <w:sz w:val="24"/>
        </w:rPr>
        <w:t>, the Supreme Court stated:</w:t>
      </w:r>
    </w:p>
    <w:p>
      <w:pPr/>
      <w:r>
        <w:rPr>
          <w:rFonts w:ascii="Times New Roman" w:hAnsi="Times New Roman" w:eastAsia="Times New Roman" w:cs="Times New Roman"/>
          <w:sz w:val="24"/>
        </w:rPr>
        <w:t xml:space="preserve">What this requires is not merely a showing that if there is conceivably to be an effective reorganization, this property will be needed for it; but that the property is essential for an effective reorganization that is in prospect. This means … that there must be 'a reasonable possibility of a successful reorganization within a reasonable time.' … </w:t>
      </w:r>
    </w:p>
    <w:p>
      <w:pPr/>
      <w:r>
        <w:rPr>
          <w:rFonts w:ascii="Times New Roman" w:hAnsi="Times New Roman" w:eastAsia="Times New Roman" w:cs="Times New Roman"/>
          <w:sz w:val="24"/>
        </w:rPr>
        <w:t>United Savings Assoc. of Texas v. Timbers of Inwood Forest Assocs., Ltd., 484 U.S. 365, 375-76 (1988) (citations omitted). In delineating the factors which satisfy the reasonable possibility of a successful reorganization test, the courts have not enunciated hard and fast criteria. The determination is made on a case-by-case basis.</w:t>
      </w:r>
    </w:p>
    <w:p>
      <w:pPr/>
      <w:r>
        <w:rPr>
          <w:rFonts w:ascii="Times New Roman" w:hAnsi="Times New Roman" w:eastAsia="Times New Roman" w:cs="Times New Roman"/>
          <w:sz w:val="24"/>
        </w:rPr>
        <w:t>The "effective reorganization" language of Section 362 means that a reorganization must be feasible. See In re National Real Estate Ltd. Partnership II, 87 B.R. 986, 991 (Bankr. E.D. Wis. 1988). Courts have uniformly held that a debtor's reorganization must be feasible and that its prospects for reorganization must be based on more than speculative assumptions and projections, or illusory or visionary schemes. See, e.g., F &amp; F, LLC v. U.S. Hung Wui Invs. Inc. (In re F &amp; F, LLC), 2010 Bankr. LEXIS 5029, at *15 (B.A.P. 9th Cir. Sep. 21, 2010) ("[a] debtor must do more than merely assert that it can reorganize if only given the opportunity to do so"); In re Grantsville Hotel Associates, L.P., 103 B.R. 509, 511 (Bankr. D. Del. 1989) ("[d]ebtor's ability to reorganize is highly speculative and relief from stay must be granted on the basis of the hard appraisal figures under both section 362(d)(1) and (2)"); American State Savings Bank v. Grand Sports (In re Grand Sports, Inc.), 86 B.R. 971, 975 (Bankr. N.D. Ind. 1988) ("'[M]ere financial pipe dream' is insufficient to meet the requirements of section 362(d)(2)… . 'In the same fashion, sincerity, honesty, willingness and visionary promises will not support a conclusion that there is a reasonable possibility of a successful reorganization.'" (quoting In re Jug End Berkshires, 46 B.R. 892, 902 (Bankr. D. Mass. 1985)); In re Diplomat Electronics Corp., 82 B.R. 688, 692 (Bankr. S.D.N.Y. 1988) (relief must be granted because "[t]he debtors' hopes and aspirations for reorganization, although well-intended, have not been supplemented by any showing that a reorganization is possible, let alone reasonably likely within a reasonable period of time.").</w:t>
      </w:r>
    </w:p>
    <w:p>
      <w:pPr/>
      <w:r>
        <w:rPr>
          <w:rFonts w:ascii="Times New Roman" w:hAnsi="Times New Roman" w:eastAsia="Times New Roman" w:cs="Times New Roman"/>
          <w:sz w:val="24"/>
        </w:rPr>
        <w:t>Here, the Debtors have not filed a plan of reorganization.  [explain the state of bankruptcy and reasons that the debtor does not have a reasonable probability of successfully reorganizing within a reasonable time.] [The Debtors are simply financially incapable of implementing any feasible plan in this case.] There is no realistic possibility of an effective reorganization. Thus, the Property is not necessary to an effective reorganization because the Debtors have no reasonable prospects of being able to confirm a plan of reorganization. [add reasons]. The Movant is therefore entitled to immediate stay relief pursuant to Section 362(d)(2) of the Bankruptcy Code.</w:t>
      </w:r>
    </w:p>
    <w:p>
      <w:pPr/>
      <w:r>
        <w:rPr>
          <w:rFonts w:ascii="Times New Roman" w:hAnsi="Times New Roman" w:eastAsia="Times New Roman" w:cs="Times New Roman"/>
          <w:sz w:val="24"/>
        </w:rPr>
        <w:t>PROCEDURE</w:t>
      </w:r>
    </w:p>
    <w:p>
      <w:pPr/>
      <w:r>
        <w:rPr>
          <w:rFonts w:ascii="Times New Roman" w:hAnsi="Times New Roman" w:eastAsia="Times New Roman" w:cs="Times New Roman"/>
          <w:sz w:val="24"/>
        </w:rPr>
        <w:t>No previous request for the relief sought herein has been made to this or any other Court.</w:t>
      </w:r>
    </w:p>
    <w:p>
      <w:pPr/>
      <w:r>
        <w:rPr>
          <w:rFonts w:ascii="Times New Roman" w:hAnsi="Times New Roman" w:eastAsia="Times New Roman" w:cs="Times New Roman"/>
          <w:sz w:val="24"/>
        </w:rPr>
        <w:t>Movant has provided notice of this Motion by facsimile and, where practicable, email and/or overnight mail to: [Notice Parties]. Due to the nature of the relief requested herein, Movant respectfully submits that no further notice of this Motion is required.</w:t>
      </w:r>
    </w:p>
    <w:p>
      <w:pPr/>
      <w:r>
        <w:rPr>
          <w:rFonts w:ascii="Times New Roman" w:hAnsi="Times New Roman" w:eastAsia="Times New Roman" w:cs="Times New Roman"/>
          <w:sz w:val="24"/>
        </w:rPr>
        <w:t>CONCLUSION</w:t>
      </w:r>
    </w:p>
    <w:p>
      <w:pPr/>
      <w:r>
        <w:rPr>
          <w:rFonts w:ascii="Times New Roman" w:hAnsi="Times New Roman" w:eastAsia="Times New Roman" w:cs="Times New Roman"/>
          <w:b/>
          <w:sz w:val="24"/>
        </w:rPr>
        <w:t>WHEREFORE</w:t>
      </w:r>
      <w:r>
        <w:rPr>
          <w:rFonts w:ascii="Times New Roman" w:hAnsi="Times New Roman" w:eastAsia="Times New Roman" w:cs="Times New Roman"/>
          <w:sz w:val="24"/>
        </w:rPr>
        <w:t>, Movant respectfully requests the entry of an order, substantially in the form annexed hereto as Exhibit A, granting the relief requested herein and such other and further relief as the Court deems appropriate.</w:t>
      </w:r>
    </w:p>
    <w:p>
      <w:pPr/>
    </w:p>
    <w:p>
      <w:pPr/>
      <w:r>
        <w:rPr>
          <w:rFonts w:ascii="Times New Roman" w:hAnsi="Times New Roman" w:eastAsia="Times New Roman" w:cs="Times New Roman"/>
          <w:sz w:val="24"/>
        </w:rPr>
        <w:t>Dated: [date]</w:t>
      </w:r>
    </w:p>
    <w:p>
      <w:pPr/>
      <w:r>
        <w:rPr>
          <w:rFonts w:ascii="Times New Roman" w:hAnsi="Times New Roman" w:eastAsia="Times New Roman" w:cs="Times New Roman"/>
          <w:sz w:val="24"/>
        </w:rPr>
        <w:t>[city, state]</w:t>
      </w:r>
    </w:p>
    <w:p>
      <w:pPr/>
      <w:r>
        <w:rPr>
          <w:rFonts w:ascii="Times New Roman" w:hAnsi="Times New Roman" w:eastAsia="Times New Roman" w:cs="Times New Roman"/>
          <w:sz w:val="24"/>
        </w:rPr>
        <w:t>[Law firm]</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