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Motion to Stay Pending Covered Business Method</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200" w:after="0" w:line="260" w:lineRule="exact"/>
        <w:ind w:left="360" w:right="0" w:firstLine="0"/>
        <w:jc w:val="center"/>
      </w:pPr>
      <w:r>
        <w:rPr>
          <w:rFonts w:ascii="Times New Roman" w:hAnsi="Times New Roman" w:eastAsia="Times New Roman" w:cs="Times New Roman"/>
          <w:b w:val="0"/>
          <w:sz w:val="24"/>
        </w:rPr>
        <w:t xml:space="preserve">UNITED STATES DISTRICT COURT FOR THE </w:t>
      </w:r>
    </w:p>
    <w:p>
      <w:pPr>
        <w:keepNext w:val="0"/>
        <w:spacing w:before="200" w:after="0" w:line="260" w:lineRule="exact"/>
        <w:ind w:left="360" w:right="0" w:firstLine="0"/>
        <w:jc w:val="center"/>
      </w:pPr>
      <w:r>
        <w:rPr>
          <w:rFonts w:ascii="Times New Roman" w:hAnsi="Times New Roman" w:eastAsia="Times New Roman" w:cs="Times New Roman"/>
          <w:b w:val="0"/>
          <w:sz w:val="24"/>
        </w:rPr>
        <w:t>[district] DISTRICT OF [state]</w:t>
      </w:r>
    </w:p>
    <w:p>
      <w:pPr>
        <w:keepNext w:val="0"/>
        <w:spacing w:before="200" w:after="0" w:line="260" w:lineRule="exact"/>
        <w:ind w:left="360" w:right="0" w:firstLine="0"/>
        <w:jc w:val="center"/>
      </w:pPr>
      <w:r>
        <w:rPr>
          <w:rFonts w:ascii="Times New Roman" w:hAnsi="Times New Roman" w:eastAsia="Times New Roman" w:cs="Times New Roman"/>
          <w:b/>
          <w:sz w:val="24"/>
        </w:rPr>
        <w:t>[ACCUSED INFRINGER]</w:t>
      </w:r>
      <w:r>
        <w:rPr>
          <w:rFonts w:ascii="Times New Roman" w:hAnsi="Times New Roman" w:eastAsia="Times New Roman" w:cs="Times New Roman"/>
          <w:b/>
          <w:sz w:val="24"/>
        </w:rPr>
        <w:t>'S MEMORANDUM OF LAW IN SUPPORT OF ITS</w:t>
      </w:r>
      <w:r>
        <w:rPr>
          <w:rFonts w:ascii="Times New Roman" w:hAnsi="Times New Roman" w:eastAsia="Times New Roman" w:cs="Times New Roman"/>
          <w:b w:val="0"/>
          <w:sz w:val="24"/>
        </w:rPr>
        <w:t xml:space="preserve"> </w:t>
      </w:r>
      <w:r>
        <w:rPr>
          <w:rFonts w:ascii="Times New Roman" w:hAnsi="Times New Roman" w:eastAsia="Times New Roman" w:cs="Times New Roman"/>
          <w:sz w:val="24"/>
        </w:rPr>
        <w:br/>
      </w:r>
      <w:r>
        <w:rPr>
          <w:rFonts w:ascii="Times New Roman" w:hAnsi="Times New Roman" w:eastAsia="Times New Roman" w:cs="Times New Roman"/>
          <w:b/>
          <w:sz w:val="24"/>
        </w:rPr>
        <w:t>MOTION TO STAY PENDING COVERED BUSINESS METHOD REVIEW</w:t>
      </w:r>
    </w:p>
    <w:p>
      <w:pPr>
        <w:keepNext w:val="0"/>
        <w:spacing w:before="120" w:after="0" w:line="260" w:lineRule="exact"/>
        <w:ind w:left="360" w:right="0" w:firstLine="0"/>
        <w:jc w:val="left"/>
      </w:pPr>
      <w:r>
        <w:rPr>
          <w:rFonts w:ascii="Times New Roman" w:hAnsi="Times New Roman" w:eastAsia="Times New Roman" w:cs="Times New Roman"/>
          <w:b/>
          <w:sz w:val="24"/>
        </w:rPr>
        <w:t>Table of Contents</w:t>
      </w:r>
    </w:p>
    <w:p>
      <w:pPr>
        <w:keepNext w:val="0"/>
        <w:spacing w:before="200" w:after="0" w:line="260" w:lineRule="exact"/>
        <w:ind w:left="720" w:right="0" w:firstLine="0"/>
        <w:jc w:val="both"/>
      </w:pPr>
      <w:r>
        <w:rPr>
          <w:rFonts w:ascii="Times New Roman" w:hAnsi="Times New Roman" w:eastAsia="Times New Roman" w:cs="Times New Roman"/>
          <w:b w:val="0"/>
          <w:sz w:val="24"/>
        </w:rPr>
        <w:t>I. INTRODUCTION……………………………………………………………………….[page number]</w:t>
      </w:r>
    </w:p>
    <w:p>
      <w:pPr>
        <w:keepNext w:val="0"/>
        <w:spacing w:before="200" w:after="0" w:line="260" w:lineRule="exact"/>
        <w:ind w:left="720" w:right="0" w:firstLine="0"/>
        <w:jc w:val="both"/>
      </w:pPr>
      <w:r>
        <w:rPr>
          <w:rFonts w:ascii="Times New Roman" w:hAnsi="Times New Roman" w:eastAsia="Times New Roman" w:cs="Times New Roman"/>
          <w:b w:val="0"/>
          <w:sz w:val="24"/>
        </w:rPr>
        <w:t>II. FACTUAL BACKGROUND…..……………………………………………………….[page number]</w:t>
      </w:r>
    </w:p>
    <w:p>
      <w:pPr>
        <w:keepNext w:val="0"/>
        <w:spacing w:before="200" w:after="0" w:line="260" w:lineRule="exact"/>
        <w:ind w:left="720" w:right="0" w:firstLine="0"/>
        <w:jc w:val="both"/>
      </w:pPr>
      <w:r>
        <w:rPr>
          <w:rFonts w:ascii="Times New Roman" w:hAnsi="Times New Roman" w:eastAsia="Times New Roman" w:cs="Times New Roman"/>
          <w:b w:val="0"/>
          <w:sz w:val="24"/>
        </w:rPr>
        <w:t>III. LEGAL STANDARDS………………………………………………………………….[page number]</w:t>
      </w:r>
    </w:p>
    <w:p>
      <w:pPr>
        <w:keepNext w:val="0"/>
        <w:spacing w:before="200" w:after="0" w:line="260" w:lineRule="exact"/>
        <w:ind w:left="720" w:right="0" w:firstLine="0"/>
        <w:jc w:val="both"/>
      </w:pPr>
      <w:r>
        <w:rPr>
          <w:rFonts w:ascii="Times New Roman" w:hAnsi="Times New Roman" w:eastAsia="Times New Roman" w:cs="Times New Roman"/>
          <w:b w:val="0"/>
          <w:sz w:val="24"/>
        </w:rPr>
        <w:t>IV. ARGUMENT……………………………...…………………………………………….[page number]</w:t>
      </w:r>
    </w:p>
    <w:p>
      <w:pPr>
        <w:keepNext w:val="0"/>
        <w:spacing w:before="200" w:after="0" w:line="260" w:lineRule="exact"/>
        <w:ind w:left="1080" w:right="0" w:firstLine="0"/>
        <w:jc w:val="both"/>
      </w:pPr>
      <w:r>
        <w:rPr>
          <w:rFonts w:ascii="Times New Roman" w:hAnsi="Times New Roman" w:eastAsia="Times New Roman" w:cs="Times New Roman"/>
          <w:b/>
          <w:sz w:val="24"/>
        </w:rPr>
        <w:t>A</w:t>
      </w:r>
      <w:r>
        <w:rPr>
          <w:rFonts w:ascii="Times New Roman" w:hAnsi="Times New Roman" w:eastAsia="Times New Roman" w:cs="Times New Roman"/>
          <w:b w:val="0"/>
          <w:sz w:val="24"/>
        </w:rPr>
        <w:t>. This Court Has the Authority to Stay this Case…………………………………………….………………………………….[page number]</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B. The Relevant Factors Favor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Stay…………………………………………………………..………………….….[page number]</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1.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Stay Will Result In Simplification of the Issues…………………………………………………………………..……….….[page number]</w:t>
      </w:r>
    </w:p>
    <w:p>
      <w:pPr>
        <w:keepNext w:val="0"/>
        <w:spacing w:before="200" w:after="0" w:line="260" w:lineRule="exact"/>
        <w:ind w:left="1440" w:right="0" w:firstLine="0"/>
        <w:jc w:val="both"/>
      </w:pPr>
      <w:r>
        <w:rPr>
          <w:rFonts w:ascii="Times New Roman" w:hAnsi="Times New Roman" w:eastAsia="Times New Roman" w:cs="Times New Roman"/>
          <w:b w:val="0"/>
          <w:sz w:val="24"/>
        </w:rPr>
        <w:t>2. This Lawsuit Is In Its Earliest Stages…………………………………………………………………………..….[page number]</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3.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Stay Will Not Prejudice The Patent Owner…………………………………………………………………..……….….[page number]</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4.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Stay Will Reduce the Burden on the Parties and the Court…………………………………………………………………..……….….[page number]</w:t>
      </w:r>
    </w:p>
    <w:p>
      <w:pPr>
        <w:keepNext w:val="0"/>
        <w:spacing w:before="200" w:after="0" w:line="260" w:lineRule="exact"/>
        <w:ind w:left="720" w:right="0" w:firstLine="0"/>
        <w:jc w:val="both"/>
      </w:pPr>
      <w:r>
        <w:rPr>
          <w:rFonts w:ascii="Times New Roman" w:hAnsi="Times New Roman" w:eastAsia="Times New Roman" w:cs="Times New Roman"/>
          <w:b w:val="0"/>
          <w:sz w:val="24"/>
        </w:rPr>
        <w:t>V. CONCLUSION…………………………………………………………………………….….[page number]</w:t>
      </w:r>
    </w:p>
    <w:p>
      <w:pPr>
        <w:keepNext w:val="0"/>
        <w:spacing w:before="120" w:after="0" w:line="260" w:lineRule="exact"/>
        <w:ind w:left="360" w:right="0" w:firstLine="0"/>
        <w:jc w:val="left"/>
      </w:pPr>
      <w:r>
        <w:rPr>
          <w:rFonts w:ascii="Times New Roman" w:hAnsi="Times New Roman" w:eastAsia="Times New Roman" w:cs="Times New Roman"/>
          <w:b/>
          <w:sz w:val="24"/>
        </w:rPr>
        <w:t>Table of Authorities</w:t>
      </w:r>
    </w:p>
    <w:p>
      <w:pPr>
        <w:keepNext w:val="0"/>
        <w:spacing w:before="120" w:after="0" w:line="260" w:lineRule="exact"/>
        <w:ind w:left="720" w:right="0" w:firstLine="0"/>
        <w:jc w:val="left"/>
      </w:pPr>
      <w:r>
        <w:rPr>
          <w:rFonts w:ascii="Times New Roman" w:hAnsi="Times New Roman" w:eastAsia="Times New Roman" w:cs="Times New Roman"/>
          <w:b/>
          <w:sz w:val="24"/>
        </w:rPr>
        <w:t>Cases</w:t>
      </w:r>
    </w:p>
    <w:p>
      <w:pPr>
        <w:keepNext w:val="0"/>
        <w:spacing w:before="200" w:after="0" w:line="260" w:lineRule="exact"/>
        <w:ind w:left="1080" w:right="0" w:firstLine="0"/>
        <w:jc w:val="both"/>
      </w:pPr>
      <w:r>
        <w:rPr>
          <w:rFonts w:ascii="Times New Roman" w:hAnsi="Times New Roman" w:eastAsia="Times New Roman" w:cs="Times New Roman"/>
          <w:b w:val="0"/>
          <w:sz w:val="24"/>
        </w:rPr>
        <w:t>[List each case cited] …………….……………………………………….[page number(s) where case is cited]</w:t>
      </w:r>
    </w:p>
    <w:p>
      <w:pPr>
        <w:keepNext w:val="0"/>
        <w:spacing w:before="120" w:after="0" w:line="260" w:lineRule="exact"/>
        <w:ind w:left="720" w:right="0" w:firstLine="0"/>
        <w:jc w:val="left"/>
      </w:pPr>
      <w:r>
        <w:rPr>
          <w:rFonts w:ascii="Times New Roman" w:hAnsi="Times New Roman" w:eastAsia="Times New Roman" w:cs="Times New Roman"/>
          <w:b/>
          <w:sz w:val="24"/>
        </w:rPr>
        <w:t>Statutes</w:t>
      </w:r>
    </w:p>
    <w:p>
      <w:pPr>
        <w:keepNext w:val="0"/>
        <w:spacing w:before="200" w:after="0" w:line="260" w:lineRule="exact"/>
        <w:ind w:left="1080" w:right="0" w:firstLine="0"/>
        <w:jc w:val="both"/>
      </w:pPr>
      <w:r>
        <w:rPr>
          <w:rFonts w:ascii="Times New Roman" w:hAnsi="Times New Roman" w:eastAsia="Times New Roman" w:cs="Times New Roman"/>
          <w:b w:val="0"/>
          <w:sz w:val="24"/>
        </w:rPr>
        <w:t>[List each statute cited] …….…….…………………………………….[page number(s) where statute is cited]</w:t>
      </w:r>
    </w:p>
    <w:p>
      <w:pPr>
        <w:keepNext w:val="0"/>
        <w:spacing w:before="120" w:after="0" w:line="260" w:lineRule="exact"/>
        <w:ind w:left="720" w:right="0" w:firstLine="0"/>
        <w:jc w:val="left"/>
      </w:pPr>
      <w:r>
        <w:rPr>
          <w:rFonts w:ascii="Times New Roman" w:hAnsi="Times New Roman" w:eastAsia="Times New Roman" w:cs="Times New Roman"/>
          <w:b/>
          <w:sz w:val="24"/>
        </w:rPr>
        <w:t>Other Authorities</w:t>
      </w:r>
    </w:p>
    <w:p>
      <w:pPr>
        <w:keepNext w:val="0"/>
        <w:spacing w:before="200" w:after="0" w:line="260" w:lineRule="exact"/>
        <w:ind w:left="1080" w:right="0" w:firstLine="0"/>
        <w:jc w:val="both"/>
      </w:pPr>
      <w:r>
        <w:rPr>
          <w:rFonts w:ascii="Times New Roman" w:hAnsi="Times New Roman" w:eastAsia="Times New Roman" w:cs="Times New Roman"/>
          <w:b w:val="0"/>
          <w:sz w:val="24"/>
        </w:rPr>
        <w:t>[List each authority cited] …………………………………………….[page number(s) where authority is cited]</w:t>
      </w:r>
    </w:p>
    <w:p>
      <w:pPr/>
    </w:p>
    <w:p>
      <w:pPr>
        <w:keepNext w:val="0"/>
        <w:spacing w:before="200" w:after="0" w:line="260" w:lineRule="exact"/>
        <w:ind w:left="360" w:right="0" w:firstLine="0"/>
        <w:jc w:val="both"/>
      </w:pPr>
      <w:r>
        <w:rPr>
          <w:rFonts w:ascii="Times New Roman" w:hAnsi="Times New Roman" w:eastAsia="Times New Roman" w:cs="Times New Roman"/>
          <w:b w:val="0"/>
          <w:sz w:val="24"/>
        </w:rPr>
        <w:t>By and through counsel, [Accused Infringer] respectfully submits this Motion to Stay in View of Covered Business Method Review (“Motion to Stay”). For all the reasons set forth herein, [Accused Infringer Short Name] respectfully requests the Court grant this Motion to Stay.</w:t>
      </w:r>
    </w:p>
    <w:p>
      <w:pPr>
        <w:keepNext w:val="0"/>
        <w:spacing w:before="120" w:after="0" w:line="260" w:lineRule="exact"/>
        <w:ind w:left="720" w:right="0" w:firstLine="0"/>
        <w:jc w:val="left"/>
      </w:pPr>
      <w:r>
        <w:rPr>
          <w:rFonts w:ascii="Times New Roman" w:hAnsi="Times New Roman" w:eastAsia="Times New Roman" w:cs="Times New Roman"/>
          <w:b w:val="0"/>
          <w:sz w:val="24"/>
        </w:rPr>
        <w:t>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INTRODUCTION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[Accused Infringer], (“[Accused Infringer Short Name]”), moves to stay the above-captioned litigation (“[Case(s) Short Name]”) in view of the pending petition for Covered Business Method (“CBM”) review of the asserted patents, U.S. Patent Nos. [Patent Number] (“the ’[3-digit Patent Number] patent”) filed by [CBM Petitioner] on [Date CBM was filed].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stay of this case pending resolution of the CBM will very likely simplify the issues in this case. Discovery in this case not been completed and no trial date has been set. [Patent Owner], (“Patent Owner Short Name”]) will not be prejudiced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stay of this case. Finally,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stay will reduce the burden of litigation on the parties and the court. As all of the relevant factors favor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stay, this case should be stayed pending resolution of the CBM.</w:t>
      </w:r>
    </w:p>
    <w:p>
      <w:pPr>
        <w:keepNext w:val="0"/>
        <w:spacing w:before="120" w:after="0" w:line="260" w:lineRule="exact"/>
        <w:ind w:left="720" w:right="0" w:firstLine="0"/>
        <w:jc w:val="left"/>
      </w:pPr>
      <w:r>
        <w:rPr>
          <w:rFonts w:ascii="Times New Roman" w:hAnsi="Times New Roman" w:eastAsia="Times New Roman" w:cs="Times New Roman"/>
          <w:b w:val="0"/>
          <w:sz w:val="24"/>
        </w:rPr>
        <w:t>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FACTUAL BACKGROUND</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On [Date], [Patent Owner] filed this patent infringement suit against [Accused Infringer] claiming infringement of the ‘[3-digit Patent Number] patent. ([Docket Number of Complaint]). [Accused Infringer] was served with the complaint on [Date]. On [Date], [Accused Infringer] filed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CBM petition challenging [list claims] of the ‘[3-digit Patent Number] patent.</w:t>
      </w:r>
    </w:p>
    <w:p>
      <w:pPr>
        <w:keepNext w:val="0"/>
        <w:spacing w:before="200" w:after="0" w:line="260" w:lineRule="exact"/>
        <w:ind w:left="1080" w:right="0" w:firstLine="0"/>
        <w:jc w:val="both"/>
      </w:pPr>
      <w:r>
        <w:rPr>
          <w:rFonts w:ascii="Times New Roman" w:hAnsi="Times New Roman" w:eastAsia="Times New Roman" w:cs="Times New Roman"/>
          <w:b w:val="0"/>
          <w:sz w:val="24"/>
        </w:rPr>
        <w:t>[Include language describing the early stage of the litigation and that limited resources have thus far been expended]</w:t>
      </w:r>
    </w:p>
    <w:p>
      <w:pPr>
        <w:keepNext w:val="0"/>
        <w:spacing w:before="200" w:after="0" w:line="260" w:lineRule="exact"/>
        <w:ind w:left="1080" w:right="0" w:firstLine="0"/>
        <w:jc w:val="both"/>
      </w:pPr>
      <w:r>
        <w:rPr>
          <w:rFonts w:ascii="Times New Roman" w:hAnsi="Times New Roman" w:eastAsia="Times New Roman" w:cs="Times New Roman"/>
          <w:b w:val="0"/>
          <w:sz w:val="24"/>
        </w:rPr>
        <w:t>[Describe the overlap in the claims being asserted and the claims being challenged in the CBM]</w:t>
      </w:r>
    </w:p>
    <w:p>
      <w:pPr>
        <w:keepNext w:val="0"/>
        <w:spacing w:before="200" w:after="0" w:line="260" w:lineRule="exact"/>
        <w:ind w:left="1080" w:right="0" w:firstLine="0"/>
        <w:jc w:val="both"/>
      </w:pPr>
      <w:r>
        <w:rPr>
          <w:rFonts w:ascii="Times New Roman" w:hAnsi="Times New Roman" w:eastAsia="Times New Roman" w:cs="Times New Roman"/>
          <w:b w:val="0"/>
          <w:sz w:val="24"/>
        </w:rPr>
        <w:t>[Describe the timeline if the CBM followed closely after the service of the complaint, and/or the motion to stay followed closely after filing the CBM]</w:t>
      </w:r>
    </w:p>
    <w:p>
      <w:pPr>
        <w:keepNext w:val="0"/>
        <w:spacing w:before="200" w:after="0" w:line="260" w:lineRule="exact"/>
        <w:ind w:left="1080" w:right="0" w:firstLine="0"/>
        <w:jc w:val="both"/>
      </w:pPr>
      <w:r>
        <w:rPr>
          <w:rFonts w:ascii="Times New Roman" w:hAnsi="Times New Roman" w:eastAsia="Times New Roman" w:cs="Times New Roman"/>
          <w:b w:val="0"/>
          <w:sz w:val="24"/>
        </w:rPr>
        <w:t>[Include language stating the CBM has already been instituted if that is the case]</w:t>
      </w:r>
    </w:p>
    <w:p>
      <w:pPr>
        <w:keepNext w:val="0"/>
        <w:spacing w:before="120" w:after="0" w:line="260" w:lineRule="exact"/>
        <w:ind w:left="720" w:right="0" w:firstLine="0"/>
        <w:jc w:val="left"/>
      </w:pPr>
      <w:r>
        <w:rPr>
          <w:rFonts w:ascii="Times New Roman" w:hAnsi="Times New Roman" w:eastAsia="Times New Roman" w:cs="Times New Roman"/>
          <w:b w:val="0"/>
          <w:sz w:val="24"/>
        </w:rPr>
        <w:t>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LEGAL STANDARDS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This court has inherent authority to manage its docket, including granting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motion to stay. See Cost Bros. Inc. v. Travelers Indem. Co., 760 F.2d 58, 60 (3d Cir. 1985); Ethicon, Inc. v. Quigg, 849 F.2d 1422, 1426-27 (Fed. Cir. 1988). Additionally, the America Invents Act (“AIA”) explicitly authorized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court to stay litigation in view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pending CBM petition. See AIA § 18(b)(1), Pub. L. No. 112-29, § 18(b)(1), 125 Stat. 284, 331 (2011). The AIA further instructs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district court to consider the following four factors when deciding whether to grant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stay: (1) whether granting the stay will simplify the issues for trial; (2) the status of the litigation, particularly whether discovery is complete and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trial date has been set; (3) whether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stay would cause the non-movant to suffer undue prejudice from any delay, or allow the movant to gain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clear tactical advantage; and (4) whether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stay will reduce the burden of litigation on the parties and on the court. See AIA § 18(b)(1); see also VirtualAgility Inc. v. Salesforce.com, 759 F.3d 1307, 1309 (Fed. Cir. 2014). All four factors favor granting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stay.</w:t>
      </w:r>
    </w:p>
    <w:p>
      <w:pPr>
        <w:keepNext w:val="0"/>
        <w:spacing w:before="120" w:after="0" w:line="260" w:lineRule="exact"/>
        <w:ind w:left="720" w:right="0" w:firstLine="0"/>
        <w:jc w:val="left"/>
      </w:pPr>
      <w:r>
        <w:rPr>
          <w:rFonts w:ascii="Times New Roman" w:hAnsi="Times New Roman" w:eastAsia="Times New Roman" w:cs="Times New Roman"/>
          <w:b w:val="0"/>
          <w:sz w:val="24"/>
        </w:rPr>
        <w:t>IV.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ARGUMENT</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This Court Has the Authority to Stay this Case</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The AIA explicitly gives courts the authority to stay cases pending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CBM review. See AIA § 18(b)(1). It has been well-established that district courts have broad discretion to manage their dockets and stay cases when appropriate. See P&amp;G v. Kraft Foods Glob., Inc., 549 F.3d 842, 848 (Fed. Cir. 2008) (citing Landis v. N. Am. Co., 299 U.S. 248, 254, 57 S. Ct. 163, 165 (1936)). This inherent power permits district courts to grant stay cases in view of related covered business method proceedings. See Murata Mach. USA v. Daifuku Co., 830 F.3d 1357, 1361 (Fed. Cir. 2016).</w:t>
      </w:r>
    </w:p>
    <w:p>
      <w:pPr>
        <w:keepNext w:val="0"/>
        <w:spacing w:before="120" w:after="0" w:line="260" w:lineRule="exact"/>
        <w:ind w:left="108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All of the Relevant Factors Favor Staying this Case</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All four of the relevant factors favor granting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stay in this case. The pending CBM petition has the potential to significantly simplify the issues in this case. This case is in its early stages and the parties have not yet expended significant resources towards it. There is no actual or potential prejudice that would result from allowing the CBM proceeding to conclude before proceeding with this case. Finally,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stay of this case pending the CBM petition will significantly reduce the burden on the parties and the court.</w:t>
      </w:r>
    </w:p>
    <w:p>
      <w:pPr>
        <w:keepNext w:val="0"/>
        <w:spacing w:before="200" w:after="0" w:line="260" w:lineRule="exact"/>
        <w:ind w:left="1440" w:right="0" w:firstLine="0"/>
        <w:jc w:val="both"/>
      </w:pPr>
      <w:r>
        <w:rPr>
          <w:rFonts w:ascii="Times New Roman" w:hAnsi="Times New Roman" w:eastAsia="Times New Roman" w:cs="Times New Roman"/>
          <w:b w:val="0"/>
          <w:sz w:val="24"/>
        </w:rPr>
        <w:t>[Identify any specific issues that particularly favor staying this case.]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[Emphasize any particular factor that weighs more heavily towards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stay than the other factors]</w:t>
      </w:r>
    </w:p>
    <w:p>
      <w:pPr>
        <w:keepNext w:val="0"/>
        <w:spacing w:before="120" w:after="0" w:line="260" w:lineRule="exact"/>
        <w:ind w:left="1440" w:right="0" w:firstLine="0"/>
        <w:jc w:val="left"/>
      </w:pP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Stay Will Simplify the Issues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[Argument regarding why staying this case in favor of allowing the CBM proceeding to conclude will simplify issues, including any overlap of claims and analysis by the USPTO that may be informative to the district court.]</w:t>
      </w:r>
    </w:p>
    <w:p>
      <w:pPr>
        <w:keepNext w:val="0"/>
        <w:spacing w:before="120" w:after="0" w:line="260" w:lineRule="exact"/>
        <w:ind w:left="1440" w:right="0" w:firstLine="0"/>
        <w:jc w:val="left"/>
      </w:pP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This Lawsuit Is In Its Earliest Stages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[Argument regarding why this case is in its early stages including whether discovery has been completed, limited discovery has taken place and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trial date has been set]</w:t>
      </w:r>
    </w:p>
    <w:p>
      <w:pPr>
        <w:keepNext w:val="0"/>
        <w:spacing w:before="120" w:after="0" w:line="260" w:lineRule="exact"/>
        <w:ind w:left="1440" w:right="0" w:firstLine="0"/>
        <w:jc w:val="left"/>
      </w:pP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Stay Will Not Prejudice The Patent Owner or Provide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Tactical Advantage to Defendant</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[Argument regarding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lack of prejudice to the patent owner or tactical advantage for the defendant]</w:t>
      </w:r>
    </w:p>
    <w:p>
      <w:pPr>
        <w:keepNext w:val="0"/>
        <w:spacing w:before="120" w:after="0" w:line="260" w:lineRule="exact"/>
        <w:ind w:left="1440" w:right="0" w:firstLine="0"/>
        <w:jc w:val="left"/>
      </w:pPr>
      <w:r>
        <w:rPr>
          <w:rFonts w:ascii="Times New Roman" w:hAnsi="Times New Roman" w:eastAsia="Times New Roman" w:cs="Times New Roman"/>
          <w:b w:val="0"/>
          <w:sz w:val="24"/>
        </w:rPr>
        <w:t>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Stay Will Reduce the Burden of Litigation on the Court and the Parties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The AIA specifically included this factor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distinct factor to be considered with respect to motions to stay pending CBM petitions to place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very heavy thumb on the scale in favor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stay being granted." Versata Software, Inc. v. Volusion, Inc., 2013 U.S. Dist. LEXIS 182842, at *5 (W.D. Tex. June 20, 2013) (quoting 157 Cong. Rec. S1363 (daily ed. Mar. 8, 2011) (statement of Sen. Schumer)). Even if there is some overlap between this factor and the first factor, both factors “continue to be separate, individual factors which must be weighed in the stay determination.” VirtualAgility Inc. v. Salesforce.com, Inc., 759 F.3d 1307, 1313 (Fed. Cir. 2014)</w:t>
      </w:r>
    </w:p>
    <w:p>
      <w:pPr>
        <w:keepNext w:val="0"/>
        <w:spacing w:before="200" w:after="0" w:line="260" w:lineRule="exact"/>
        <w:ind w:left="1440" w:right="0" w:firstLine="0"/>
        <w:jc w:val="both"/>
      </w:pPr>
      <w:r>
        <w:rPr>
          <w:rFonts w:ascii="Times New Roman" w:hAnsi="Times New Roman" w:eastAsia="Times New Roman" w:cs="Times New Roman"/>
          <w:b w:val="0"/>
          <w:sz w:val="24"/>
        </w:rPr>
        <w:t>[Argument regarding the resources of the Court and the Parties that will be saved by allowing the CBM to proceed while staying this case.]</w:t>
      </w:r>
    </w:p>
    <w:p>
      <w:pPr>
        <w:keepNext w:val="0"/>
        <w:spacing w:before="120" w:after="0" w:line="260" w:lineRule="exact"/>
        <w:ind w:left="720" w:right="0" w:firstLine="0"/>
        <w:jc w:val="left"/>
      </w:pPr>
      <w:r>
        <w:rPr>
          <w:rFonts w:ascii="Times New Roman" w:hAnsi="Times New Roman" w:eastAsia="Times New Roman" w:cs="Times New Roman"/>
          <w:b w:val="0"/>
          <w:sz w:val="24"/>
        </w:rPr>
        <w:t>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CONCLUSION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For the foregoing reasons [Accused Infringer] respectfully requests the Court grant this Motion to Stay this case.</w:t>
      </w:r>
    </w:p>
    <w:p>
      <w:pPr/>
    </w:p>
    <w:p>
      <w:pPr>
        <w:keepNext w:val="0"/>
        <w:spacing w:before="200" w:after="0" w:line="260" w:lineRule="exact"/>
        <w:ind w:left="360" w:right="0" w:firstLine="0"/>
        <w:jc w:val="both"/>
      </w:pPr>
      <w:r>
        <w:rPr>
          <w:rFonts w:ascii="Times New Roman" w:hAnsi="Times New Roman" w:eastAsia="Times New Roman" w:cs="Times New Roman"/>
          <w:b w:val="0"/>
          <w:sz w:val="24"/>
        </w:rPr>
        <w:t>Dated: 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Respectfully submitted,</w:t>
      </w:r>
    </w:p>
    <w:p>
      <w:pPr>
        <w:keepNext w:val="0"/>
        <w:spacing w:before="120" w:after="0" w:line="260" w:lineRule="exact"/>
        <w:ind w:left="360" w:right="0" w:firstLine="0"/>
        <w:jc w:val="left"/>
      </w:pPr>
      <w:r>
        <w:rPr>
          <w:rFonts w:ascii="Times New Roman" w:hAnsi="Times New Roman" w:eastAsia="Times New Roman" w:cs="Times New Roman"/>
          <w:b w:val="0"/>
          <w:sz w:val="24"/>
        </w:rPr>
        <w:t>[Counsel’s Firm]</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[Counsel’s Name] (Bar No. [Counsel’s Bar No.])</w:t>
      </w:r>
    </w:p>
    <w:p>
      <w:pPr>
        <w:keepNext w:val="0"/>
        <w:spacing w:before="120" w:after="0" w:line="260" w:lineRule="exact"/>
        <w:ind w:left="360" w:right="0" w:firstLine="0"/>
        <w:jc w:val="left"/>
      </w:pPr>
      <w:r>
        <w:rPr>
          <w:rFonts w:ascii="Times New Roman" w:hAnsi="Times New Roman" w:eastAsia="Times New Roman" w:cs="Times New Roman"/>
          <w:b w:val="0"/>
          <w:sz w:val="24"/>
        </w:rPr>
        <w:t>[Counsel’s Address]</w:t>
      </w:r>
    </w:p>
    <w:p>
      <w:pPr>
        <w:keepNext w:val="0"/>
        <w:spacing w:before="120" w:after="0" w:line="260" w:lineRule="exact"/>
        <w:ind w:left="360" w:right="0" w:firstLine="0"/>
        <w:jc w:val="left"/>
      </w:pPr>
      <w:r>
        <w:rPr>
          <w:rFonts w:ascii="Times New Roman" w:hAnsi="Times New Roman" w:eastAsia="Times New Roman" w:cs="Times New Roman"/>
          <w:b w:val="0"/>
          <w:sz w:val="24"/>
        </w:rPr>
        <w:t>[Counsel’s Telephone No.]</w:t>
      </w:r>
    </w:p>
    <w:p>
      <w:pPr>
        <w:keepNext w:val="0"/>
        <w:spacing w:before="120" w:after="0" w:line="260" w:lineRule="exact"/>
        <w:ind w:left="360" w:right="0" w:firstLine="0"/>
        <w:jc w:val="left"/>
      </w:pPr>
      <w:r>
        <w:rPr>
          <w:rFonts w:ascii="Times New Roman" w:hAnsi="Times New Roman" w:eastAsia="Times New Roman" w:cs="Times New Roman"/>
          <w:b w:val="0"/>
          <w:sz w:val="24"/>
        </w:rPr>
        <w:t>[Counsel’s Fax No.]</w:t>
      </w:r>
    </w:p>
    <w:p>
      <w:pPr>
        <w:keepNext w:val="0"/>
        <w:spacing w:before="120" w:after="0" w:line="260" w:lineRule="exact"/>
        <w:ind w:left="360" w:right="0" w:firstLine="0"/>
        <w:jc w:val="left"/>
      </w:pPr>
      <w:r>
        <w:rPr>
          <w:rFonts w:ascii="Times New Roman" w:hAnsi="Times New Roman" w:eastAsia="Times New Roman" w:cs="Times New Roman"/>
          <w:b w:val="0"/>
          <w:sz w:val="24"/>
        </w:rPr>
        <w:t>[Counsel’s Email Address]</w:t>
      </w:r>
    </w:p>
    <w:p>
      <w:pPr>
        <w:keepNext w:val="0"/>
        <w:spacing w:before="120" w:after="0" w:line="260" w:lineRule="exact"/>
        <w:ind w:left="360" w:right="0" w:firstLine="0"/>
        <w:jc w:val="left"/>
      </w:pPr>
      <w:r>
        <w:rPr>
          <w:rFonts w:ascii="Times New Roman" w:hAnsi="Times New Roman" w:eastAsia="Times New Roman" w:cs="Times New Roman"/>
          <w:b w:val="0"/>
          <w:sz w:val="24"/>
        </w:rPr>
        <w:t>Attorneys for [Accused Infringer]</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