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to Strike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SUPERIOR COURT OF THE STATE OF WASHINGTON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FOR [county name] COUNTY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RELIEF REQUESTED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[moving party designation, e.g., Defendant] [moving party name] moves under Wash. CR 12(f)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striking [specify matter to be stricken] from [opposing party designation, e.g., plaintiff]'s [specify pleading, e.g., complaint] in this action for reasons more fully set forth in this motion.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STATEMENT OF FACTS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On [date of filing], [opposing party designation, e.g., plaintiff] filed the [specify pleading, e.g., complaint] in the above-entitled action.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On [date of service], [moving party designation, e.g., defendant] was served with [specify pleading served, e.g., summons and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complaint].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[opposing party designation, e.g., plaintiff]'s [specify pleading, e.g., complaint] contains the following material: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or set forth allegations or other statements contained in pleading that moving party wishes to have stricken].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this and subsequent paragraphs as needed, set forth facts showing why the material referenced should be stricken].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STATEMENT OF ISSUES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[If required by local rules, set forth relevant issues to be decided, e.g.: 1. Is defendant entitled to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striking the specified paragraphs from plaintiff's complaint?]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EVIDENCE RELIED ON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support of the motion, [moving party designation, e.g., defendant] relies on [cite specific pleadings, discovery, responses, or declarations submitted with motion] and exhibits attached to them.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ARGUMENT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court may order stricken from any pleading any insufficient defense or any redundant, immaterial, impertinent, or scandalous matter. Wash. CR 12(f). The material identified in paragraph </w:t>
      </w:r>
      <w:r>
        <w:rPr>
          <w:rFonts w:ascii="Times New Roman" w:hAnsi="Times New Roman" w:eastAsia="Times New Roman" w:cs="Times New Roman"/>
          <w:b w:val="0"/>
          <w:sz w:val="24"/>
        </w:rPr>
        <w:t>3.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this motion should be stricken from [opposing party designation, e.g., plaintiff]'s [identify pleading, e.g., complaint] because [cite further legal authority, as needed, and develop argument showing that material to be stricken is harmful to moving party and is irrelevant to the issues in the case].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VI.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CONCLUSION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For all these reasons, [moving party designation, e.g., defendant] [moving party name] respectfully requests that the court order that [specify matter to be stricken] be stricken from [opposing party designation, e.g., plaintiff]'s [specify pleading, e.g., complaint] in this action, and that the court also grant [moving party designation, e.g., defendant] [moving party name] any further relief that may be just and proper.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(attorney signature)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Washington State Bar Association No. [state bar I.D.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[e-mail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[moving party designation, e.g., Defendant] [moving party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