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Motion to Terminate Exclusivity</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UNITED STATES BANKRUPTCY COURT</w:t>
      </w:r>
    </w:p>
    <w:p>
      <w:pPr>
        <w:keepNext w:val="0"/>
        <w:spacing w:before="200" w:after="0" w:line="260" w:lineRule="exact"/>
        <w:ind w:left="360" w:right="0" w:firstLine="0"/>
        <w:jc w:val="center"/>
      </w:pPr>
      <w:r>
        <w:rPr>
          <w:rFonts w:ascii="Times New Roman" w:hAnsi="Times New Roman" w:eastAsia="Times New Roman" w:cs="Times New Roman"/>
          <w:b w:val="0"/>
          <w:sz w:val="24"/>
        </w:rPr>
        <w:t>FOR THE [DISTRICT]</w:t>
      </w:r>
    </w:p>
    <w:p>
      <w:pPr>
        <w:keepNext w:val="0"/>
        <w:spacing w:before="120" w:after="0" w:line="260" w:lineRule="exact"/>
        <w:ind w:left="360" w:right="0" w:firstLine="0"/>
        <w:jc w:val="left"/>
      </w:pPr>
      <w:r>
        <w:rPr>
          <w:rFonts w:ascii="Times New Roman" w:hAnsi="Times New Roman" w:eastAsia="Times New Roman" w:cs="Times New Roman"/>
          <w:b/>
          <w:sz w:val="24"/>
        </w:rPr>
        <w:t>MOTION OF [MOVANT] TO TERMINATE THE DEBTORS' EXCLUSIVE PERIODS</w:t>
      </w:r>
      <w:r>
        <w:rPr>
          <w:rFonts w:ascii="Times New Roman" w:hAnsi="Times New Roman" w:eastAsia="Times New Roman" w:cs="Times New Roman"/>
          <w:sz w:val="24"/>
        </w:rPr>
        <w:br/>
      </w:r>
      <w:r>
        <w:rPr>
          <w:rFonts w:ascii="Times New Roman" w:hAnsi="Times New Roman" w:eastAsia="Times New Roman" w:cs="Times New Roman"/>
          <w:b/>
          <w:sz w:val="24"/>
        </w:rPr>
        <w:t>PURSUANT TO SECTION 1121(d)(1) OF THE BANKRUPTCY CODE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[Name] [(the "Movant")], by and through its undersigned counsel, hereby files this motion (the "Motion") for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substantially in the form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pursuant to Section 1121(d)(1) of title 11 of the United States Code (the "Bankruptcy Code"), terminating the exclusive periods during which only the above-captioned debtors and debtors in possession (collectively, the "Debtors") may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Chapter 11 plan and solicit acceptances thereof (collectively, the "Exclusivity Periods"). In support of this Motion, [Movant] respectfully represents as follows:</w:t>
      </w:r>
    </w:p>
    <w:p>
      <w:pPr>
        <w:keepNext w:val="0"/>
        <w:spacing w:before="120" w:after="0" w:line="260" w:lineRule="exact"/>
        <w:ind w:left="360" w:right="0" w:firstLine="0"/>
        <w:jc w:val="left"/>
      </w:pPr>
      <w:r>
        <w:rPr>
          <w:rFonts w:ascii="Times New Roman" w:hAnsi="Times New Roman" w:eastAsia="Times New Roman" w:cs="Times New Roman"/>
          <w:b/>
          <w:sz w:val="24"/>
        </w:rPr>
        <w:t>PRELIMINARY STATEMENT</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[briefly describe the motion and the reasons for relief]</w:t>
      </w:r>
    </w:p>
    <w:p>
      <w:pPr>
        <w:keepNext w:val="0"/>
        <w:spacing w:before="200" w:after="0" w:line="260" w:lineRule="exact"/>
        <w:ind w:left="360" w:right="0" w:firstLine="0"/>
        <w:jc w:val="center"/>
      </w:pPr>
      <w:r>
        <w:rPr>
          <w:rFonts w:ascii="Times New Roman" w:hAnsi="Times New Roman" w:eastAsia="Times New Roman" w:cs="Times New Roman"/>
          <w:b/>
          <w:sz w:val="24"/>
        </w:rPr>
        <w:t>JURISDICTION AND VENUE</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Court has jurisdiction over the Motion pursuant to 28 U.S.C. §§ 157 and 1334. This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core proceeding pursuant to 28 U.S.C. § 157(b). Venue is proper in this Court pursuant to 28 U.S.C. §§ 1408 and 1409.</w:t>
      </w:r>
    </w:p>
    <w:p>
      <w:pPr>
        <w:keepNext w:val="0"/>
        <w:spacing w:before="120" w:after="0" w:line="260" w:lineRule="exact"/>
        <w:ind w:left="360" w:right="0" w:firstLine="0"/>
        <w:jc w:val="left"/>
      </w:pPr>
      <w:r>
        <w:rPr>
          <w:rFonts w:ascii="Times New Roman" w:hAnsi="Times New Roman" w:eastAsia="Times New Roman" w:cs="Times New Roman"/>
          <w:b/>
          <w:sz w:val="24"/>
        </w:rPr>
        <w:t>BACKGROUND</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 [month] [day], [year] (the "Petition Date"), the Debtors filed petitions for relief under Chapter 11 of the Bankruptcy Code.</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[explain relationship with debtor].</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exclusive period for the Debtors to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of reorganization will expire on [month] [day], [year], and the exclusivity period to solicit such plan will expire on [month] [day], [year].</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Debtors have been in Chapter 11 for over [number] months and have failed to move this case forward. [add detail].</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Debtors have failed to build consensus around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structure. The Debtors have not commenced discussions with [Movant] regarding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of reorganization. [add detail]. They purposefully excluded the [Movant] from all plan negotiations.</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Movant [has or will] work[ed] diligently with multiple key stakeholders to develop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viable path forward. [describe the movant's alternate plan or intentions].</w:t>
      </w:r>
    </w:p>
    <w:p>
      <w:pPr>
        <w:keepNext w:val="0"/>
        <w:spacing w:before="120" w:after="0" w:line="260" w:lineRule="exact"/>
        <w:ind w:left="360" w:right="0" w:firstLine="0"/>
        <w:jc w:val="left"/>
      </w:pPr>
      <w:r>
        <w:rPr>
          <w:rFonts w:ascii="Times New Roman" w:hAnsi="Times New Roman" w:eastAsia="Times New Roman" w:cs="Times New Roman"/>
          <w:b/>
          <w:sz w:val="24"/>
        </w:rPr>
        <w:t>RELIEF REQUESTED</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By this Motion, [Movant] seeks the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pursuant to Section 1121(d)(1) of the Bankruptcy Code terminating the Debtors' Exclusivity Periods [to allow Movant to file and solicit acceptances of its own plan of reorganization].</w:t>
      </w:r>
    </w:p>
    <w:p>
      <w:pPr>
        <w:keepNext w:val="0"/>
        <w:spacing w:before="200" w:after="0" w:line="260" w:lineRule="exact"/>
        <w:ind w:left="360" w:right="0" w:firstLine="0"/>
        <w:jc w:val="center"/>
      </w:pPr>
      <w:r>
        <w:rPr>
          <w:rFonts w:ascii="Times New Roman" w:hAnsi="Times New Roman" w:eastAsia="Times New Roman" w:cs="Times New Roman"/>
          <w:b/>
          <w:sz w:val="24"/>
        </w:rPr>
        <w:t>BASIS FOR RELIEF</w:t>
      </w:r>
    </w:p>
    <w:p>
      <w:pPr>
        <w:keepNext w:val="0"/>
        <w:spacing w:before="120" w:after="0" w:line="260" w:lineRule="exact"/>
        <w:ind w:left="720" w:right="0" w:firstLine="0"/>
        <w:jc w:val="left"/>
      </w:pPr>
      <w:r>
        <w:rPr>
          <w:rFonts w:ascii="Times New Roman" w:hAnsi="Times New Roman" w:eastAsia="Times New Roman" w:cs="Times New Roman"/>
          <w:b w:val="0"/>
          <w:sz w:val="24"/>
        </w:rPr>
        <w:t>I.</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Legal Standards for Terminating Exclusivity under Section 1121(d)(1) of the Bankruptcy Code</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Section 1121(b) provides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 has the exclusive right to propose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Chapter 11 plan for the first one hundred and twenty (120) days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Chapter 11 case. Section 1121(c) provides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 has the exclusive right to solicit votes for its plan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sixty (60) days thereafter. 11 U.S.C. § 1121(b)-(c).</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Section 1121(d)(1) of the Bankruptcy Code provides:</w:t>
      </w:r>
    </w:p>
    <w:p>
      <w:pPr>
        <w:keepNext w:val="0"/>
        <w:spacing w:before="200" w:after="0" w:line="260" w:lineRule="exact"/>
        <w:ind w:left="1440" w:right="0" w:firstLine="0"/>
        <w:jc w:val="both"/>
      </w:pPr>
      <w:r>
        <w:rPr>
          <w:rFonts w:ascii="Times New Roman" w:hAnsi="Times New Roman" w:eastAsia="Times New Roman" w:cs="Times New Roman"/>
          <w:b w:val="0"/>
          <w:sz w:val="24"/>
        </w:rPr>
        <w:t>Subject to paragraph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on request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in interest made within the respective periods specified in subsections (b) and (c) of this section and after notice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the court may for cause reduce or increase the 120-day period or the 180-day period referred to in this section.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11 U.S.C. § 1121(d)(1). Section 1121(d) "represents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congressional acknowledgement that creditors, whose money is invested in the enterprise no less than the debtor's,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say in the future of that enterprise." In re Timbers of Inwood Forest Assocs., Ltd., 808 F.2d 363, 372 (5th Cir. 1987). "Section 1121 was designed, and should be faithfully interpreted, to limit the delay that makes creditors the hostages of Chapter 11 debtors." Id.</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Whether cause exists to extend or terminate exclusivity periods is left to the sound discretion of the bankruptcy court based on all the facts and circumstances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case. In re R.G. Pharmacy, Inc., 374 B.R. 484, 487 (Bankr. D. Conn. 2007). Courts consider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factors in determining whether cause exists to extend or reduce the exclusivity periods, including any of the following:</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size and complexity of the case;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necessity of sufficient time to negotiate and prepare adequate information;</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existence of good faith progress toward reorganization;</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Whether the debtor is paying its debts as they come due;</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Whether the debtor has demonstrated reasonable prospects for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viable plan;</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Whether the debtor has made progress in negotiating with creditors;</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length of time the case has been pending;</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Whether the debtor is seeking the extension to pressure creditors; and</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Whether unresolved contingencies exist.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See, e.g., In re Dow Corning Corp., 208 B.R. 661, 664-665 (Bankr. E.D. Mich. 1997). Not all of the factors are relevant in every case, and rather than adding up the factors for or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extension or termination, courts may base the determination on practical considerations of whether terminating exclusivity would move the case along (rather than merely adding up the factors). Id. at 670 ("[w]hen the Court is determining whether to terminate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debtor's exclusivity, the primary consideration should be whether or not doing so would facilitate moving the case forward").</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facts and circumstances in the instant case demonstrate more than sufficient cause to terminate the exclusivity period.</w:t>
      </w:r>
    </w:p>
    <w:p>
      <w:pPr>
        <w:keepNext w:val="0"/>
        <w:spacing w:before="120" w:after="0" w:line="260" w:lineRule="exact"/>
        <w:ind w:left="720" w:right="0" w:firstLine="0"/>
        <w:jc w:val="left"/>
      </w:pPr>
      <w:r>
        <w:rPr>
          <w:rFonts w:ascii="Times New Roman" w:hAnsi="Times New Roman" w:eastAsia="Times New Roman" w:cs="Times New Roman"/>
          <w:b w:val="0"/>
          <w:sz w:val="24"/>
        </w:rPr>
        <w:t>II.</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Exclusivity is Appropriate in These Cases</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purpose of exclusivity is to allow the debtor sufficient time to negotiate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that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chance to be confirmed. In re Pub. Serv. Co. of N.H., 88 B.R. 521, 533-34 (Bankr. D.N.H. 1988). However, the Debtors have failed to use this time to negotiate with its principal stakeholders. See, e.g., In re GMG Capital Partners III, L.P., 503 B.R. 596, 601 (Bankr. S.D.N.Y. 2014) ("[t]hird, GMG has had sufficient time to enter into good faith negotiations with its creditors, principally Athenian, but has not even commenced plan negotiations"). [add detail].</w:t>
      </w:r>
    </w:p>
    <w:p>
      <w:pPr>
        <w:keepNext w:val="0"/>
        <w:spacing w:before="120" w:after="0" w:line="260" w:lineRule="exact"/>
        <w:ind w:left="1080" w:right="0" w:firstLine="0"/>
        <w:jc w:val="left"/>
      </w:pPr>
      <w:r>
        <w:rPr>
          <w:rFonts w:ascii="Times New Roman" w:hAnsi="Times New Roman" w:eastAsia="Times New Roman" w:cs="Times New Roman"/>
          <w:b w:val="0"/>
          <w:sz w:val="24"/>
        </w:rPr>
        <w:t>15.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Despite having ample time, the Debtors cannot demonstrate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prospect for proposing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viable plan. In re All Seasons Indus., Inc., 121 B.R. 1002, 1006 (Bankr. N.D. Ind. 1990) ("[o]ne of the most important reasons for extending the debtor's period of exclusivity is to give the Chapter 11 process of negotiation and compromise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opportunity to be fulfilled, so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consensual plan can be proposed and confirmed without opposition"); see also GMG Capital, 503 B.R. at 602 ("[f]ifth, GMG has not demonstrated reasonable prospects for proposing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viable plan that Athenian will support (Factor 5).") [add detail].</w:t>
      </w:r>
    </w:p>
    <w:p>
      <w:pPr>
        <w:keepNext w:val="0"/>
        <w:spacing w:before="120" w:after="0" w:line="260" w:lineRule="exact"/>
        <w:ind w:left="1080" w:right="0" w:firstLine="0"/>
        <w:jc w:val="left"/>
      </w:pPr>
      <w:r>
        <w:rPr>
          <w:rFonts w:ascii="Times New Roman" w:hAnsi="Times New Roman" w:eastAsia="Times New Roman" w:cs="Times New Roman"/>
          <w:b w:val="0"/>
          <w:sz w:val="24"/>
        </w:rPr>
        <w:t>16.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Instead of negotiating in good faith, the Debtors have continued their adversarial relationship with their main creditor constituents. R.G. Pharmacy, 374 B.R. at 488 ("[t]he court is not persuaded that the contingencies noted are cause for granting the extension, particularly in light of the breakdown of negotiations between the parties"); In re Tripodi, 180, 2005 Bankr. LEXIS 1981, at *6-7 (Bankr. D. Conn. Feb. 18, 2005) ("in light of continuing acrimony between the Debtors and their principal creditors,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consensual plan is nowhere on the horizon"). [add detail]</w:t>
      </w:r>
    </w:p>
    <w:p>
      <w:pPr>
        <w:keepNext w:val="0"/>
        <w:spacing w:before="120" w:after="0" w:line="260" w:lineRule="exact"/>
        <w:ind w:left="1080" w:right="0" w:firstLine="0"/>
        <w:jc w:val="left"/>
      </w:pPr>
      <w:r>
        <w:rPr>
          <w:rFonts w:ascii="Times New Roman" w:hAnsi="Times New Roman" w:eastAsia="Times New Roman" w:cs="Times New Roman"/>
          <w:b w:val="0"/>
          <w:sz w:val="24"/>
        </w:rPr>
        <w:t>17.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the reasons set forth above, [Movant] respectfully submit that cause exists to terminate the Exclusivity Periods as requested herein.</w:t>
      </w:r>
    </w:p>
    <w:p>
      <w:pPr>
        <w:keepNext w:val="0"/>
        <w:spacing w:before="120" w:after="0" w:line="260" w:lineRule="exact"/>
        <w:ind w:left="360" w:right="0" w:firstLine="0"/>
        <w:jc w:val="left"/>
      </w:pPr>
      <w:r>
        <w:rPr>
          <w:rFonts w:ascii="Times New Roman" w:hAnsi="Times New Roman" w:eastAsia="Times New Roman" w:cs="Times New Roman"/>
          <w:b/>
          <w:sz w:val="24"/>
        </w:rPr>
        <w:t>PROCEDURE</w:t>
      </w:r>
    </w:p>
    <w:p>
      <w:pPr>
        <w:keepNext w:val="0"/>
        <w:spacing w:before="120" w:after="0" w:line="260" w:lineRule="exact"/>
        <w:ind w:left="720" w:right="0" w:firstLine="0"/>
        <w:jc w:val="left"/>
      </w:pPr>
      <w:r>
        <w:rPr>
          <w:rFonts w:ascii="Times New Roman" w:hAnsi="Times New Roman" w:eastAsia="Times New Roman" w:cs="Times New Roman"/>
          <w:b w:val="0"/>
          <w:sz w:val="24"/>
        </w:rPr>
        <w:t>18.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 previous request for the relief sought herein has been made to this or any other Court.</w:t>
      </w:r>
    </w:p>
    <w:p>
      <w:pPr>
        <w:keepNext w:val="0"/>
        <w:spacing w:before="120" w:after="0" w:line="260" w:lineRule="exact"/>
        <w:ind w:left="720" w:right="0" w:firstLine="0"/>
        <w:jc w:val="left"/>
      </w:pPr>
      <w:r>
        <w:rPr>
          <w:rFonts w:ascii="Times New Roman" w:hAnsi="Times New Roman" w:eastAsia="Times New Roman" w:cs="Times New Roman"/>
          <w:b w:val="0"/>
          <w:sz w:val="24"/>
        </w:rPr>
        <w:t>19.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[Movant] has provided notice of this Motion by facsimile and, where practicable, email and/or overnight mail to: [Notice Parties]. Due to the nature of the relief requested herein, [Movant] respectfully submits that no further notice of this Motion is required.</w:t>
      </w:r>
    </w:p>
    <w:p>
      <w:pPr>
        <w:keepNext w:val="0"/>
        <w:spacing w:before="120" w:after="0" w:line="260" w:lineRule="exact"/>
        <w:ind w:left="360" w:right="0" w:firstLine="0"/>
        <w:jc w:val="left"/>
      </w:pPr>
      <w:r>
        <w:rPr>
          <w:rFonts w:ascii="Times New Roman" w:hAnsi="Times New Roman" w:eastAsia="Times New Roman" w:cs="Times New Roman"/>
          <w:b/>
          <w:sz w:val="24"/>
        </w:rPr>
        <w:t>CONCLUSION</w:t>
      </w:r>
    </w:p>
    <w:p>
      <w:pPr>
        <w:keepNext w:val="0"/>
        <w:spacing w:before="200" w:after="0" w:line="260" w:lineRule="exact"/>
        <w:ind w:left="720" w:right="0" w:firstLine="0"/>
        <w:jc w:val="both"/>
      </w:pPr>
      <w:r>
        <w:rPr>
          <w:rFonts w:ascii="Times New Roman" w:hAnsi="Times New Roman" w:eastAsia="Times New Roman" w:cs="Times New Roman"/>
          <w:b/>
          <w:sz w:val="24"/>
        </w:rPr>
        <w:t>WHEREFORE</w:t>
      </w:r>
      <w:r>
        <w:rPr>
          <w:rFonts w:ascii="Times New Roman" w:hAnsi="Times New Roman" w:eastAsia="Times New Roman" w:cs="Times New Roman"/>
          <w:b w:val="0"/>
          <w:sz w:val="24"/>
        </w:rPr>
        <w:t>, [Movant] respectfully requests that the Court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enter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substantially in the form annexed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granting the relief requested herein; and (b) grant such other and further relief as the Court deems appropriate.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[city, state]</w:t>
      </w:r>
    </w:p>
    <w:p>
      <w:pPr>
        <w:keepNext w:val="0"/>
        <w:spacing w:before="120" w:after="0" w:line="260" w:lineRule="exact"/>
        <w:ind w:left="360" w:right="0" w:firstLine="0"/>
        <w:jc w:val="left"/>
      </w:pPr>
      <w:r>
        <w:rPr>
          <w:rFonts w:ascii="Times New Roman" w:hAnsi="Times New Roman" w:eastAsia="Times New Roman" w:cs="Times New Roman"/>
          <w:b w:val="0"/>
          <w:sz w:val="24"/>
        </w:rPr>
        <w:t>[Law firm]</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line]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[fax]</w:t>
      </w:r>
    </w:p>
    <w:p>
      <w:pPr>
        <w:keepNext w:val="0"/>
        <w:spacing w:before="120" w:after="0" w:line="260" w:lineRule="exact"/>
        <w:ind w:left="360" w:right="0" w:firstLine="0"/>
        <w:jc w:val="left"/>
      </w:pPr>
      <w:r>
        <w:rPr>
          <w:rFonts w:ascii="Times New Roman" w:hAnsi="Times New Roman" w:eastAsia="Times New Roman" w:cs="Times New Roman"/>
          <w:b w:val="0"/>
          <w:sz w:val="24"/>
        </w:rPr>
        <w:t>[email]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