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Vacate Arbitration Award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NO.: [case docket number, if applicable]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MOTION TO VACATE ARBITRATION AWARD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name] hereby moves under Conn. Gen. Stat. § 52-407ww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vacating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 issued on [award date]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arbitration proceeding between [moving party name] and [responding party name] and alleges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[agreement date], [moving party name] and [responding party name]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agreement [generally describe subject of agreement, e.g., for the purchase and sale of certain real property located in (town name), Connecticut]. [Paragraph or Section] [paragraph or section number] of the parties' written agreement [requires the parties to arbitrate (generally describe arbitrable disputes) or provides as follows: (quote arbitration provision)].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agreement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Subsequently,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dispute arose between the parties that is arbitrable under the parties' agreement regarding [generally describe nature of the dispute].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[demand date], [demanding party]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demand for arbitration of the dispute as required under the parties' [purported] agreement.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demand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[arbitration date(s)], at [location], arbitration proceedings were held concerning the dispute referred to in Paragraph [</w:t>
      </w: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>] before [arbitrator name(s)], the arbitrator(s).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[award date], the arbitrator(s) issued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award in the arbitration proceedings.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award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[notice date], [moving party name] received notice of the arbitration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judicial district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motion because [state basis for venue, e.g., the arbitration proceedings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were conducted in this judicial district].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should be vacated in its entirety by the court because [allege facts showing grounds for vacating award].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name] therefore respectfully requests that the court grant this motion and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Vacating in its entirety the arbitration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>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Ordering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rehearing of the arbitration proceeding [before new arbitrators];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Awarding [moving party name] the reasonable expenses of bringing this motion.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[Moving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