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Withdraw the Reference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OR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MOTION TO WITHDRAW THE REFERENCE</w:t>
      </w:r>
    </w:p>
    <w:p>
      <w:pPr>
        <w:keepNext w:val="0"/>
        <w:spacing w:before="200" w:after="0" w:line="260" w:lineRule="exact"/>
        <w:ind w:left="720" w:right="0" w:firstLine="0"/>
        <w:jc w:val="both"/>
      </w:pPr>
      <w:r>
        <w:rPr>
          <w:rFonts w:ascii="Times New Roman" w:hAnsi="Times New Roman" w:eastAsia="Times New Roman" w:cs="Times New Roman"/>
          <w:b w:val="0"/>
          <w:sz w:val="24"/>
        </w:rPr>
        <w:t>[Name] [(the "</w:t>
      </w:r>
      <w:r>
        <w:rPr>
          <w:rFonts w:ascii="Times New Roman" w:hAnsi="Times New Roman" w:eastAsia="Times New Roman" w:cs="Times New Roman"/>
          <w:b w:val="0"/>
          <w:sz w:val="24"/>
        </w:rPr>
        <w:t>Movant</w:t>
      </w:r>
      <w:r>
        <w:rPr>
          <w:rFonts w:ascii="Times New Roman" w:hAnsi="Times New Roman" w:eastAsia="Times New Roman" w:cs="Times New Roman"/>
          <w:b w:val="0"/>
          <w:sz w:val="24"/>
        </w:rPr>
        <w:t>")], by and through its undersigned counsel, hereby files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to withdraw the reference of the above-captioned adversary proceeding (the "</w:t>
      </w:r>
      <w:r>
        <w:rPr>
          <w:rFonts w:ascii="Times New Roman" w:hAnsi="Times New Roman" w:eastAsia="Times New Roman" w:cs="Times New Roman"/>
          <w:b w:val="0"/>
          <w:sz w:val="24"/>
        </w:rPr>
        <w:t>Adversary Proceeding</w:t>
      </w:r>
      <w:r>
        <w:rPr>
          <w:rFonts w:ascii="Times New Roman" w:hAnsi="Times New Roman" w:eastAsia="Times New Roman" w:cs="Times New Roman"/>
          <w:b w:val="0"/>
          <w:sz w:val="24"/>
        </w:rPr>
        <w:t>") pursuant to 28 U.S.C. § 157(d) and Rule 5011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In support hereof, Movant respectfully states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petitions for relief under Chapter 11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paragraph (and subsequent ones) should describe the debtors' relationship with the defendant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Debtors initiated the Adversary Proceeding by filing [complaint name] against Movant (the "</w:t>
      </w:r>
      <w:r>
        <w:rPr>
          <w:rFonts w:ascii="Times New Roman" w:hAnsi="Times New Roman" w:eastAsia="Times New Roman" w:cs="Times New Roman"/>
          <w:b w:val="0"/>
          <w:sz w:val="24"/>
        </w:rPr>
        <w:t>Complaint</w:t>
      </w:r>
      <w:r>
        <w:rPr>
          <w:rFonts w:ascii="Times New Roman" w:hAnsi="Times New Roman" w:eastAsia="Times New Roman" w:cs="Times New Roman"/>
          <w:b w:val="0"/>
          <w:sz w:val="24"/>
        </w:rPr>
        <w:t>"). In the Complaint, the Debtors allege [add facts and, if applicable, procedural history]. [describe nonbankruptcy law implicated]</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Movant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28 U.S.C. § 157(d) and Bankruptcy Rule 5011 withdrawing the reference of the Adversary Proceeding.</w:t>
      </w:r>
    </w:p>
    <w:p>
      <w:pPr>
        <w:keepNext w:val="0"/>
        <w:spacing w:before="200" w:after="0" w:line="260" w:lineRule="exact"/>
        <w:ind w:left="720" w:right="0" w:firstLine="0"/>
        <w:jc w:val="center"/>
      </w:pPr>
      <w:r>
        <w:rPr>
          <w:rFonts w:ascii="Times New Roman" w:hAnsi="Times New Roman" w:eastAsia="Times New Roman" w:cs="Times New Roman"/>
          <w:b/>
          <w:sz w:val="24"/>
        </w:rPr>
        <w:t>BASIS FOR RELIEF</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of the Reference is Mandatory.</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court is required to withdraw the reference (i.e., mandatory withdrawal), when the "resolution of the proceeding requires consideration of both title 11 and other laws of the United States regulating organizations or activities affecting interstate commerce." 28 U.S.C. § 157(d).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have interpreted 28 U.S.C. § 157(d) to mean that withdrawal is mandatory "where substantial and material consideration of non-Bankruptcy Code federal statutes is necessary for the resolution of the proceeding." In re Ionosphere Clubs, Inc., 922 F.2d 984, 995 (2d Cir. 1990); see also Singer Co. B.V. v. Groz-Beckert KG (In re Singer Co.), 2002 U.S. Dist. LEXIS 2629, at *8 (S.D.N.Y. Feb. 15, 2002) (mandatory withdrawal of case involving patent law); IRS v. CM Holdings, Inc. (In re CM Holdings, Inc.), 221 B.R. 715, 724 (D. Del. 1998) (mandatory withdrawal of case involving federal tax law); In re Johns-Manville Corp., 63 B.R. 600, 603 (S.D.N.Y.1986) (withdrawing reference when the case necessarily involved determining CERCLA claims).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case, the Adversary Proceeding requires substantial and material consideration of [federal] law. [add arguments]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of the Reference is Also Warranted Under Section 157's Permissive Withdrawal Provision for Cause.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157(d) also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court to "withdraw, in whole or in part, any case or proceeding referred under this section, on its own motion or on timely motion of any party, for cause shown." 28 U.S.C. § 157(d). Title 28 does not define cause, but courts in this Circuit generally consider the following factors in deciding whether to exercise their discretion and withdraw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for cause:</w:t>
      </w:r>
    </w:p>
    <w:p>
      <w:pPr>
        <w:keepNext w:val="0"/>
        <w:spacing w:before="200" w:after="0" w:line="260" w:lineRule="exact"/>
        <w:ind w:left="1800" w:right="0" w:firstLine="0"/>
        <w:jc w:val="both"/>
      </w:pPr>
      <w:r>
        <w:rPr>
          <w:rFonts w:ascii="Times New Roman" w:hAnsi="Times New Roman" w:eastAsia="Times New Roman" w:cs="Times New Roman"/>
          <w:b w:val="0"/>
          <w:sz w:val="24"/>
        </w:rPr>
        <w:t>• Whether the matter is core or noncore</w:t>
      </w:r>
    </w:p>
    <w:p>
      <w:pPr>
        <w:keepNext w:val="0"/>
        <w:spacing w:before="200" w:after="0" w:line="260" w:lineRule="exact"/>
        <w:ind w:left="1800" w:right="0" w:firstLine="0"/>
        <w:jc w:val="both"/>
      </w:pPr>
      <w:r>
        <w:rPr>
          <w:rFonts w:ascii="Times New Roman" w:hAnsi="Times New Roman" w:eastAsia="Times New Roman" w:cs="Times New Roman"/>
          <w:b w:val="0"/>
          <w:sz w:val="24"/>
        </w:rPr>
        <w:t>• The consistent administration of bankruptcy proceedings</w:t>
      </w:r>
    </w:p>
    <w:p>
      <w:pPr>
        <w:keepNext w:val="0"/>
        <w:spacing w:before="200" w:after="0" w:line="260" w:lineRule="exact"/>
        <w:ind w:left="1800" w:right="0" w:firstLine="0"/>
        <w:jc w:val="both"/>
      </w:pPr>
      <w:r>
        <w:rPr>
          <w:rFonts w:ascii="Times New Roman" w:hAnsi="Times New Roman" w:eastAsia="Times New Roman" w:cs="Times New Roman"/>
          <w:b w:val="0"/>
          <w:sz w:val="24"/>
        </w:rPr>
        <w:t>• The expedition of the bankruptcy process and promotion of judicial economy</w:t>
      </w:r>
    </w:p>
    <w:p>
      <w:pPr>
        <w:keepNext w:val="0"/>
        <w:spacing w:before="200" w:after="0" w:line="260" w:lineRule="exact"/>
        <w:ind w:left="1800" w:right="0" w:firstLine="0"/>
        <w:jc w:val="both"/>
      </w:pPr>
      <w:r>
        <w:rPr>
          <w:rFonts w:ascii="Times New Roman" w:hAnsi="Times New Roman" w:eastAsia="Times New Roman" w:cs="Times New Roman"/>
          <w:b w:val="0"/>
          <w:sz w:val="24"/>
        </w:rPr>
        <w:t>• The efficient use of resources</w:t>
      </w:r>
    </w:p>
    <w:p>
      <w:pPr>
        <w:keepNext w:val="0"/>
        <w:spacing w:before="200" w:after="0" w:line="260" w:lineRule="exact"/>
        <w:ind w:left="1800" w:right="0" w:firstLine="0"/>
        <w:jc w:val="both"/>
      </w:pPr>
      <w:r>
        <w:rPr>
          <w:rFonts w:ascii="Times New Roman" w:hAnsi="Times New Roman" w:eastAsia="Times New Roman" w:cs="Times New Roman"/>
          <w:b w:val="0"/>
          <w:sz w:val="24"/>
        </w:rPr>
        <w:t>• The prevention of forum shopping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protection of the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w:t>
      </w:r>
    </w:p>
    <w:p>
      <w:pPr>
        <w:keepNext w:val="0"/>
        <w:spacing w:before="200" w:after="0" w:line="260" w:lineRule="exact"/>
        <w:ind w:left="1800" w:right="0" w:firstLine="0"/>
        <w:jc w:val="both"/>
      </w:pPr>
      <w:r>
        <w:rPr>
          <w:rFonts w:ascii="Times New Roman" w:hAnsi="Times New Roman" w:eastAsia="Times New Roman" w:cs="Times New Roman"/>
          <w:b w:val="0"/>
          <w:sz w:val="24"/>
        </w:rPr>
        <w:t>• The timing of the request for withdrawal</w:t>
      </w:r>
    </w:p>
    <w:p>
      <w:pPr>
        <w:keepNext w:val="0"/>
        <w:spacing w:before="200" w:after="0" w:line="260" w:lineRule="exact"/>
        <w:ind w:left="1800" w:right="0" w:firstLine="0"/>
        <w:jc w:val="both"/>
      </w:pPr>
      <w:r>
        <w:rPr>
          <w:rFonts w:ascii="Times New Roman" w:hAnsi="Times New Roman" w:eastAsia="Times New Roman" w:cs="Times New Roman"/>
          <w:b w:val="0"/>
          <w:sz w:val="24"/>
        </w:rPr>
        <w:t>JLL Consultants, Inc. v. Goldman Kurland &amp; Mohidin, LLP (In re AgFeed USA, LLC), 565 B.R. 556, 563 (D. Del. 2016); see also Orion Pictures Corp. v. Showtime Networks (In re Orion Pictures Corp.), 4 F.3d 1095, 1101 (2d Cir. 1993); In re Pruitt, 910 F.2d 1160, 1168 (3d Cir. 1990).</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discussed below, consideration of these factors shows that permissive withdrawal should be granted.</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This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Noncore Proceeding</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157(b)(1) grants bankruptcy courts the authority to enter final judgments in core proceedings, subject to review on appeal by district courts and bankruptcy appellate panels. Core matters are proceedings that involve substantive rights created by federal bankruptcy law or that would have no existence outside of the bankruptcy. Scott v. AIG Prop. Cas. Co., 2017 U.S. Dist. LEXIS 58339 at *9 (S.D.N.Y. Apr. 17, 2017).</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Noncore proceedings do not implicate bankruptcy law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may be appropriately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court. Courts in this jurisdiction have found that the core/noncore issue is the most crucial factor,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threshold determination, which must be made before analyzing the other factors. See, e.g., Kohn v. Haymount Ltd. P'ship (In re Int'l Benefits Grp., Inc.), 2006 U.S. Dist. LEXIS 58487, at *7-8 (D.N.J. Aug. 21, 2006) (finding noncore where "[t]he present claim is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relationship that was consummated long before IBG's bankruptcy filing, and does not specifically concern the administration of the estate or any of the other scenarios described in that statute"); see also Dev. Specialists, Inc. v. Peabody Energy Corp. (In re Coudert Bros. LLP), 2011 U.S. Dist. LEXIS 135990, at *14-15 (S.D.N.Y. Nov. 22, 2011).</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Here, the plaintiff's claims are noncore claims. [detail].</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Dispute Involves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Private Right</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Permissive withdrawal is also warranted because the Adversary Proceeding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over private rights. In </w:t>
      </w:r>
      <w:r>
        <w:rPr>
          <w:rFonts w:ascii="Times New Roman" w:hAnsi="Times New Roman" w:eastAsia="Times New Roman" w:cs="Times New Roman"/>
          <w:b w:val="0"/>
          <w:sz w:val="24"/>
        </w:rPr>
        <w:t>Stern v. Marshall</w:t>
      </w:r>
      <w:r>
        <w:rPr>
          <w:rFonts w:ascii="Times New Roman" w:hAnsi="Times New Roman" w:eastAsia="Times New Roman" w:cs="Times New Roman"/>
          <w:b w:val="0"/>
          <w:sz w:val="24"/>
        </w:rPr>
        <w:t xml:space="preserve">, the Supreme Court held that although Section 157(b) confers upon bankruptcy courts the statutory authority to adjudicate core counterclaims, Article III of the U.S. Constitution prohibits bankruptcy courts (as non-Article III courts) from entering final judgments on counterclaims based on state common law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law tort claims). The Supreme Court set forth three instances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may adjudicate finally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at issue: (1) if the claim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right; (2) if the process of adjudicating the creditor's proof of claim would necessarily resolve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counterclaim; or (3) if the parties consent to final adjudication by the bankruptcy court. See id. at 478-82, 488-99. Weisfelner v. Blavatnik (In re Lyondell Chem. Co.), 467 B.R. 712, 722 (S.D.N.Y. 2012). Public rights are those created by Congress and assigned to administrative agencies or Article I courts to decide. Private rights include rights at common law, including private contract, tort, and property rights, among others.</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light of </w:t>
      </w:r>
      <w:r>
        <w:rPr>
          <w:rFonts w:ascii="Times New Roman" w:hAnsi="Times New Roman" w:eastAsia="Times New Roman" w:cs="Times New Roman"/>
          <w:b w:val="0"/>
          <w:sz w:val="24"/>
        </w:rPr>
        <w:t>Stern</w:t>
      </w:r>
      <w:r>
        <w:rPr>
          <w:rFonts w:ascii="Times New Roman" w:hAnsi="Times New Roman" w:eastAsia="Times New Roman" w:cs="Times New Roman"/>
          <w:b w:val="0"/>
          <w:sz w:val="24"/>
        </w:rPr>
        <w:t xml:space="preserve"> and its progeny, several bankruptcy courts hold that the appropriate inquiry is whether the bankruptcy court has constitutional authority to finally adjudicate the matter and not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is core or noncore. Messer v. Magee (In re FKF 3, LLC), 2016 U.S. Dist. LEXIS 117258, at *18 (S.D.N.Y. Aug. 30, 2016); Lehman Bros. Holdings, Inc. v. JPMorgan Chase Bank, N.</w:t>
      </w:r>
      <w:r>
        <w:rPr>
          <w:rFonts w:ascii="Times New Roman" w:hAnsi="Times New Roman" w:eastAsia="Times New Roman" w:cs="Times New Roman"/>
          <w:b/>
          <w:sz w:val="24"/>
        </w:rPr>
        <w:t>A</w:t>
      </w:r>
      <w:r>
        <w:rPr>
          <w:rFonts w:ascii="Times New Roman" w:hAnsi="Times New Roman" w:eastAsia="Times New Roman" w:cs="Times New Roman"/>
          <w:b w:val="0"/>
          <w:sz w:val="24"/>
        </w:rPr>
        <w:t>. (In re Lehman Bros. Holdings, Inc.), 480 B.R. 179, 188 (S.D.N.Y. 2012).</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Here, the dispute does not fall into the public rights exception and does not involve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counterclaim. [explain why] Importantly, Movant also does not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by the Bankruptcy Court.</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Withdrawal Is Warranted Because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Jury Trial Is Required.</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Movant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and has not waived that right. The Seventh Amendment to the U.S. Constitution ensures individuals the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in common law proceedings, which involve legal as opposed to equitable rights. Granfinanciera v. Nordberg, 492 U.S. 33 (1989). Congress enacted Section 157(e) of Title 28 to address the constitutional issues pertaining to jury trials in bankruptcy courts. Section 157(e) authorizes bankruptcy courts to conduct jury trials where the district court in the jurisdiction specifically empowers it to do so, and each of the parties to the proceeding expressly consents.</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Bankruptcy courts that cannot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(when the parties have the right to one under Section 157(e) and the Seventh Amendment) must transfer the proceeding to the district court to conduct the trial. Thus, discretionary withdrawal is often appropriate based solely on the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See, e.g., In re Skyline Concrete Floor Corp., 410 B.R. 564, 567 (E.D. Mich. 2008); see also W. Utah Copper Co. v. Bridge Loan Capital Fund, LP, 2011 U.S. Dist. LEXIS 1249 at *2 (D. Utah Jan. 6, 2011).</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Here, Movant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and does not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in the Bankruptcy Court. [explain the basis for the jury trial right]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Remaining Factors also Support Cause for Permissive Withdrawal</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Judicial economy and the efficient use of resources would be best served by withdrawing the reference [so that the court that will ultimately preside over the case will decide pretrial issues]. The Bankruptcy Court is permitted only to issue proposed findings of fact and conclusions of law because of the noncore issues in the Adversary Proceeding. It is more efficient to eliminate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novo</w:t>
      </w:r>
      <w:r>
        <w:rPr>
          <w:rFonts w:ascii="Times New Roman" w:hAnsi="Times New Roman" w:eastAsia="Times New Roman" w:cs="Times New Roman"/>
          <w:b w:val="0"/>
          <w:sz w:val="24"/>
        </w:rPr>
        <w:t xml:space="preserve"> review by the District Court and appeals to the District Court, and to try these issues once before the District Court.</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Withdrawing the reference will not delay the bankruptcy process. [explain and detail the status of bankruptcy]. Withdrawal of the reference will also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impact on the uniformity of bankruptcy administration [because this Adversary Proceeding involves state law issues]. Finally, Movant is not forum shopping.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Motion to Withdraw the Reference is Timely</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157(d)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court to withdraw the reference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motion.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is timely if it is filed "as soon as possible after the moving party has notice of the grounds for withdrawing the reference." VWE Group, Inc. v. Amlicke (In re VWE Group, Inc.), 359 B.R. 441, 446 (S.D.N.Y. 2007).</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Movant filed the Motion within [time period] of the filing of the Adversary Proceeding]. [add other facts and case law, if necessary, to support that the motion is timely].</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Movant respectfully requests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such other and further relief as the Court deems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