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Multiemployer Pension Plan Coordinated Application for Partition Notice</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NOTICE OF APPLICATION FOR PARTITION FOR [PLAN NAME]</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notice is to inform you that, on [date], [plan sponsor's name] ("Board of Trustees") filed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application with the Pension Benefit Guaranty Corporation ("PBGC") requesting approval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partition of the [Pension fund name, employer identification number, and three-digit plan number] (the "Plan"). [statement that the plan sponsor has submitted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suspension of benefits under ERISA § 305(e)(9)(G) (29 U.S.C. § 1085(e)(9)(G)) of, and identify how to obtain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application and notice required by ERISA § 305(e)(9)(F) (29 U.S.C. 1085(e)(9)(F))].</w:t>
      </w:r>
    </w:p>
    <w:p>
      <w:pPr>
        <w:keepNext w:val="0"/>
        <w:spacing w:before="120" w:after="0" w:line="260" w:lineRule="exact"/>
        <w:ind w:left="360" w:right="0" w:firstLine="0"/>
        <w:jc w:val="left"/>
      </w:pPr>
      <w:r>
        <w:rPr>
          <w:rFonts w:ascii="Times New Roman" w:hAnsi="Times New Roman" w:eastAsia="Times New Roman" w:cs="Times New Roman"/>
          <w:b/>
          <w:sz w:val="24"/>
        </w:rPr>
        <w:t>What is partition?</w:t>
      </w:r>
    </w:p>
    <w:p>
      <w:pPr>
        <w:keepNext w:val="0"/>
        <w:spacing w:before="200" w:after="0" w:line="260" w:lineRule="exact"/>
        <w:ind w:left="72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multiemployer plan that is in critical and declining status may apply to PBGC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that separates (</w:t>
      </w:r>
      <w:r>
        <w:rPr>
          <w:rFonts w:ascii="Times New Roman" w:hAnsi="Times New Roman" w:eastAsia="Times New Roman" w:cs="Times New Roman"/>
          <w:b w:val="0"/>
          <w:sz w:val="24"/>
        </w:rPr>
        <w:t>i.e.</w:t>
      </w:r>
      <w:r>
        <w:rPr>
          <w:rFonts w:ascii="Times New Roman" w:hAnsi="Times New Roman" w:eastAsia="Times New Roman" w:cs="Times New Roman"/>
          <w:b w:val="0"/>
          <w:sz w:val="24"/>
        </w:rPr>
        <w:t xml:space="preserve">, partitions) and transfers the PBGC-guaranteed portion of certain participants' and beneficiaries' benefits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newly-created successor plan. The total amount transferred from the original plan to the successor plan is the minimum amount needed to keep the original plan solvent. While the Board of Trustees will administer the successor plan, PBGC will provide financial assistance to the successor plan to pay the transferred benefits.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PBGC guarantees benefits up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limit. However, if the PBGC-guaranteed amount payable by the successor plan is less than the benefit payable under the original plan after taking into account benefit reductions or any plan amendments after the effective date of the partition, Federal law requires the original plan to pay the difference. Therefore, partition will not further change the total amount payable to any participant or beneficiary.</w:t>
      </w:r>
    </w:p>
    <w:p>
      <w:pPr>
        <w:keepNext w:val="0"/>
        <w:spacing w:before="120" w:after="0" w:line="260" w:lineRule="exact"/>
        <w:ind w:left="360" w:right="0" w:firstLine="0"/>
        <w:jc w:val="left"/>
      </w:pPr>
      <w:r>
        <w:rPr>
          <w:rFonts w:ascii="Times New Roman" w:hAnsi="Times New Roman" w:eastAsia="Times New Roman" w:cs="Times New Roman"/>
          <w:b/>
          <w:sz w:val="24"/>
        </w:rPr>
        <w:t>What are the rules for partition?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Federal law permits, but does not require, PBGC to approve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application for partition. PBGC generally will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decision on the application for partition within 270 days.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is eligible for partition if certain requirements are met, including: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pension plan is in critical and declining status.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plan is in critical and declining status if it is in critical status (which generally means the plan's funded percentage is less than 65%) and is projected to run out of money within 15 years (or 20 years if there are at least twice as many inactive as active participants, or if the plan's funded percentage is less than 80%).</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PBGC determines, after consulting with the PBGC Participant and Plan Sponsor Advocate, that the Board of Trustees has taken (or is taking) all reasonable measures to avoid insolvency, including reducing benefits to the maximum allowed under the law.</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PBGC determines that: (1) providing financial assistance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partition will be significantly less than providing financial assistance in the event the plan becomes insolvent; and (2) partition is necessary for the plan to remain solvent.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PBGC certifies to Congress that its ability to meet existing financial assistance obligations to other multiemployer plans (including plans that are insolvent or projected to become insolvent within 10 years) will not be impaired by the partition.</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cost of the partition is paid exclusively from PBGC's multiemployer insurance fund.</w:t>
      </w:r>
    </w:p>
    <w:p>
      <w:pPr>
        <w:keepNext w:val="0"/>
        <w:spacing w:before="120" w:after="0" w:line="260" w:lineRule="exact"/>
        <w:ind w:left="360" w:right="0" w:firstLine="0"/>
        <w:jc w:val="left"/>
      </w:pPr>
      <w:r>
        <w:rPr>
          <w:rFonts w:ascii="Times New Roman" w:hAnsi="Times New Roman" w:eastAsia="Times New Roman" w:cs="Times New Roman"/>
          <w:b/>
          <w:sz w:val="24"/>
        </w:rPr>
        <w:t>Why are partition and benefit reductions needed?</w:t>
      </w:r>
    </w:p>
    <w:p>
      <w:pPr>
        <w:keepNext w:val="0"/>
        <w:spacing w:before="200" w:after="0" w:line="260" w:lineRule="exact"/>
        <w:ind w:left="720" w:right="0" w:firstLine="0"/>
        <w:jc w:val="both"/>
      </w:pPr>
      <w:r>
        <w:rPr>
          <w:rFonts w:ascii="Times New Roman" w:hAnsi="Times New Roman" w:eastAsia="Times New Roman" w:cs="Times New Roman"/>
          <w:b w:val="0"/>
          <w:sz w:val="24"/>
        </w:rPr>
        <w:t>The Plan is in critical and declining status, is [funded percentage] funded, and is projected to become insolvent by [expected insolvency date]. The Board of Trustees has taken reasonable measures to avoid insolvency, but has determined that these measures are insufficient and that the proposed partition and reduction of benefits combined are necessary for the Plan to avoid insolvency.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[brief statement of the amount of liabilities the Board of Trustees proposes to partition and indicate whether it is the minimum amount needed for the Plan to remain solvent]. [If applicable, brief statement summarizing the proposed classes of participants and beneficiaries whose benefits will be partially or wholly transferred if the application is granted,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of the factors considered]. If instead the Plan is allowed to become insolvent, the benefits of all participants and beneficiaries whose benefits exceed the PBGC-guaranteed amount would be reduced to the PBGC-guaranteed amount.</w:t>
      </w:r>
    </w:p>
    <w:p>
      <w:pPr>
        <w:keepNext w:val="0"/>
        <w:spacing w:before="120" w:after="0" w:line="260" w:lineRule="exact"/>
        <w:ind w:left="360" w:right="0" w:firstLine="0"/>
        <w:jc w:val="left"/>
      </w:pPr>
      <w:r>
        <w:rPr>
          <w:rFonts w:ascii="Times New Roman" w:hAnsi="Times New Roman" w:eastAsia="Times New Roman" w:cs="Times New Roman"/>
          <w:b/>
          <w:sz w:val="24"/>
        </w:rPr>
        <w:t>What is PBGC's multiemployer plan guarantee?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Federal law sets the maximum that PBGC may guarantee. For multiemployer plan benefits, PBGC guarantees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monthly benefit payment equal to 100 percent of the first $11 of the Plan's monthly benefit accrual rate, plus 75 percent of the next $33 of the accrual rate, times each year of credited service. PBGC's maximum guarantee, therefore, is $35.75 per month times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participant's years of credited service.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PBGC guarantees vested pension benefits payable at normal retirement age, early retirement benefits, and certain survivor benefits, if the participant met the eligibility requirements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benefit before plan termination or insolvency.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benefit or benefit increase that has been in effect for less than 60 months is not eligible for PBGC's guarantee. PBGC also does not guarantee benefits above the normal retirement benefit, disability benefits not in pay status, or non-pension benefits, such as health insurance, life insurance, death benefits, vacation pay, or severance pay.</w:t>
      </w:r>
    </w:p>
    <w:p>
      <w:pPr>
        <w:keepNext w:val="0"/>
        <w:spacing w:before="120" w:after="0" w:line="260" w:lineRule="exact"/>
        <w:ind w:left="360" w:right="0" w:firstLine="0"/>
        <w:jc w:val="left"/>
      </w:pPr>
      <w:r>
        <w:rPr>
          <w:rFonts w:ascii="Times New Roman" w:hAnsi="Times New Roman" w:eastAsia="Times New Roman" w:cs="Times New Roman"/>
          <w:b/>
          <w:sz w:val="24"/>
        </w:rPr>
        <w:t xml:space="preserve">How will I know when PBGC has made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decision on the application for partition?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PBGC approves the Board of Trustees' application for partition, PBGC will issue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affected participants and beneficiaries whose benefits will be transferred to the successor plan no later than 14 days after it issues the order of partition. You may also visit www.pbgc.gov/MPRA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applications for partition received by PBGC and the status of those applications.</w:t>
      </w:r>
    </w:p>
    <w:p>
      <w:pPr>
        <w:keepNext w:val="0"/>
        <w:spacing w:before="120" w:after="0" w:line="260" w:lineRule="exact"/>
        <w:ind w:left="360" w:right="0" w:firstLine="0"/>
        <w:jc w:val="left"/>
      </w:pPr>
      <w:r>
        <w:rPr>
          <w:rFonts w:ascii="Times New Roman" w:hAnsi="Times New Roman" w:eastAsia="Times New Roman" w:cs="Times New Roman"/>
          <w:b/>
          <w:sz w:val="24"/>
        </w:rPr>
        <w:t>How do I obtain information on the application for approval to reduce benefits?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application for approval of the proposed reduction of benefits will be publicly available within 30 days after the Treasury Department receives the application. See www.treasury.gov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application, instructions on how to send comments on the application, and how to contact the Treasury Department for further information and assistance.</w:t>
      </w:r>
    </w:p>
    <w:p>
      <w:pPr>
        <w:keepNext w:val="0"/>
        <w:spacing w:before="120" w:after="0" w:line="260" w:lineRule="exact"/>
        <w:ind w:left="360" w:right="0" w:firstLine="0"/>
        <w:jc w:val="left"/>
      </w:pPr>
      <w:r>
        <w:rPr>
          <w:rFonts w:ascii="Times New Roman" w:hAnsi="Times New Roman" w:eastAsia="Times New Roman" w:cs="Times New Roman"/>
          <w:b/>
          <w:sz w:val="24"/>
        </w:rPr>
        <w:t>Your Rights to Receive Information about Your Plan and its Benefits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Your Plan's Summary Plan Description ("SPD") will include information on the procedures for claiming benefits, which will apply to both the original and successor plans until the Plan provides you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new SPD. You also have the legal right to request documents from the original plan to help you understand the partition and your rights such as:</w:t>
      </w:r>
    </w:p>
    <w:p>
      <w:pPr>
        <w:keepNext w:val="0"/>
        <w:spacing w:before="200" w:after="0" w:line="260" w:lineRule="exact"/>
        <w:ind w:left="1080" w:right="0" w:firstLine="0"/>
        <w:jc w:val="both"/>
      </w:pPr>
      <w:r>
        <w:rPr>
          <w:rFonts w:ascii="Times New Roman" w:hAnsi="Times New Roman" w:eastAsia="Times New Roman" w:cs="Times New Roman"/>
          <w:b w:val="0"/>
          <w:sz w:val="24"/>
        </w:rPr>
        <w:t>• The plan document, trust agreement, and other documents governing the Plan (e.g., collective bargaining agreements);</w:t>
      </w:r>
    </w:p>
    <w:p>
      <w:pPr>
        <w:keepNext w:val="0"/>
        <w:spacing w:before="200" w:after="0" w:line="260" w:lineRule="exact"/>
        <w:ind w:left="1080" w:right="0" w:firstLine="0"/>
        <w:jc w:val="both"/>
      </w:pPr>
      <w:r>
        <w:rPr>
          <w:rFonts w:ascii="Times New Roman" w:hAnsi="Times New Roman" w:eastAsia="Times New Roman" w:cs="Times New Roman"/>
          <w:b w:val="0"/>
          <w:sz w:val="24"/>
        </w:rPr>
        <w:t>• The latest SPD and summaries of material modification;</w:t>
      </w:r>
    </w:p>
    <w:p>
      <w:pPr>
        <w:keepNext w:val="0"/>
        <w:spacing w:before="200" w:after="0" w:line="260" w:lineRule="exact"/>
        <w:ind w:left="1080" w:right="0" w:firstLine="0"/>
        <w:jc w:val="both"/>
      </w:pPr>
      <w:r>
        <w:rPr>
          <w:rFonts w:ascii="Times New Roman" w:hAnsi="Times New Roman" w:eastAsia="Times New Roman" w:cs="Times New Roman"/>
          <w:b w:val="0"/>
          <w:sz w:val="24"/>
        </w:rPr>
        <w:t>• The Plan's Form 5500 annual reports, including audited financial statements, filed with the U.S. Department of Labor during the last six years;</w:t>
      </w:r>
    </w:p>
    <w:p>
      <w:pPr>
        <w:keepNext w:val="0"/>
        <w:spacing w:before="200" w:after="0" w:line="260" w:lineRule="exact"/>
        <w:ind w:left="1080" w:right="0" w:firstLine="0"/>
        <w:jc w:val="both"/>
      </w:pPr>
      <w:r>
        <w:rPr>
          <w:rFonts w:ascii="Times New Roman" w:hAnsi="Times New Roman" w:eastAsia="Times New Roman" w:cs="Times New Roman"/>
          <w:b w:val="0"/>
          <w:sz w:val="24"/>
        </w:rPr>
        <w:t>• The Plan's annual funding notices for the last six years;</w:t>
      </w:r>
    </w:p>
    <w:p>
      <w:pPr>
        <w:keepNext w:val="0"/>
        <w:spacing w:before="200" w:after="0" w:line="260" w:lineRule="exact"/>
        <w:ind w:left="1080" w:right="0" w:firstLine="0"/>
        <w:jc w:val="both"/>
      </w:pPr>
      <w:r>
        <w:rPr>
          <w:rFonts w:ascii="Times New Roman" w:hAnsi="Times New Roman" w:eastAsia="Times New Roman" w:cs="Times New Roman"/>
          <w:b w:val="0"/>
          <w:sz w:val="24"/>
        </w:rPr>
        <w:t>• Actuarial reports (including reports submitted in support of the application for partition) furnished to the Plan within the last six years;</w:t>
      </w:r>
    </w:p>
    <w:p>
      <w:pPr>
        <w:keepNext w:val="0"/>
        <w:spacing w:before="200" w:after="0" w:line="260" w:lineRule="exact"/>
        <w:ind w:left="1080" w:right="0" w:firstLine="0"/>
        <w:jc w:val="both"/>
      </w:pPr>
      <w:r>
        <w:rPr>
          <w:rFonts w:ascii="Times New Roman" w:hAnsi="Times New Roman" w:eastAsia="Times New Roman" w:cs="Times New Roman"/>
          <w:b w:val="0"/>
          <w:sz w:val="24"/>
        </w:rPr>
        <w:t>• The Plan's current rehabilitation plan, including contribution schedules;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quarterly, semi-annual or annual financial reports prepared for the Plan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investment manager, fiduciary or other advisor and furnished to the Plan within the last six years.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your benefits are transferred to the successor plan, you will be furnished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plan SPD within 120 days of the partition; and the plan document, trust agreement, and other documents governing the successor plan will be available for review following the partition.</w:t>
      </w:r>
    </w:p>
    <w:p>
      <w:pPr>
        <w:keepNext w:val="0"/>
        <w:spacing w:before="200" w:after="0" w:line="260" w:lineRule="exact"/>
        <w:ind w:left="720" w:right="0" w:firstLine="0"/>
        <w:jc w:val="both"/>
      </w:pPr>
      <w:r>
        <w:rPr>
          <w:rFonts w:ascii="Times New Roman" w:hAnsi="Times New Roman" w:eastAsia="Times New Roman" w:cs="Times New Roman"/>
          <w:b w:val="0"/>
          <w:sz w:val="24"/>
        </w:rPr>
        <w:t>The plan administrator must respond to your request for these documents within 30 days, and may charge you the cost per page for the least expensive means of reproducing documents, but cannot charge more than 25 cents per page. The Plan's Form 5500 annual reports are also available free of charge on the DOL's website. Some of the documents also may be available for examination, without charge, at the plan administrator's office, your worksite, or union hall.</w:t>
      </w:r>
    </w:p>
    <w:p>
      <w:pPr>
        <w:keepNext w:val="0"/>
        <w:spacing w:before="120" w:after="0" w:line="260" w:lineRule="exact"/>
        <w:ind w:left="360" w:right="0" w:firstLine="0"/>
        <w:jc w:val="left"/>
      </w:pPr>
      <w:r>
        <w:rPr>
          <w:rFonts w:ascii="Times New Roman" w:hAnsi="Times New Roman" w:eastAsia="Times New Roman" w:cs="Times New Roman"/>
          <w:b/>
          <w:sz w:val="24"/>
        </w:rPr>
        <w:t>Plan Contact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For more information about this Notice, you may contact:</w:t>
      </w:r>
    </w:p>
    <w:p>
      <w:pPr>
        <w:keepNext w:val="0"/>
        <w:spacing w:before="60" w:after="0" w:line="260" w:lineRule="exact"/>
        <w:ind w:left="720" w:right="0" w:firstLine="0"/>
        <w:jc w:val="both"/>
      </w:pPr>
      <w:r>
        <w:rPr>
          <w:rFonts w:ascii="Times New Roman" w:hAnsi="Times New Roman" w:eastAsia="Times New Roman" w:cs="Times New Roman"/>
          <w:b w:val="0"/>
          <w:sz w:val="24"/>
        </w:rPr>
        <w:t>[Name of Plan Administrator, address, email address, and phone number]</w:t>
      </w:r>
    </w:p>
    <w:p>
      <w:pPr>
        <w:keepNext w:val="0"/>
        <w:spacing w:before="120" w:after="0" w:line="260" w:lineRule="exact"/>
        <w:ind w:left="360" w:right="0" w:firstLine="0"/>
        <w:jc w:val="left"/>
      </w:pPr>
      <w:r>
        <w:rPr>
          <w:rFonts w:ascii="Times New Roman" w:hAnsi="Times New Roman" w:eastAsia="Times New Roman" w:cs="Times New Roman"/>
          <w:b/>
          <w:sz w:val="24"/>
        </w:rPr>
        <w:t>PBGC Contact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Multiemployer Program Division, PBGC, 1200 K Street, NW, Washington, DC 20005-4026</w:t>
      </w:r>
    </w:p>
    <w:p>
      <w:pPr>
        <w:keepNext w:val="0"/>
        <w:spacing w:before="60" w:after="0" w:line="260" w:lineRule="exact"/>
        <w:ind w:left="720" w:right="0" w:firstLine="0"/>
        <w:jc w:val="both"/>
      </w:pPr>
      <w:r>
        <w:rPr>
          <w:rFonts w:ascii="Times New Roman" w:hAnsi="Times New Roman" w:eastAsia="Times New Roman" w:cs="Times New Roman"/>
          <w:b w:val="0"/>
          <w:sz w:val="24"/>
        </w:rPr>
        <w:t>Email: www.pbgc.gov/prac/multiemployer</w:t>
      </w:r>
    </w:p>
    <w:p>
      <w:pPr>
        <w:keepNext w:val="0"/>
        <w:spacing w:before="60" w:after="0" w:line="260" w:lineRule="exact"/>
        <w:ind w:left="720" w:right="0" w:firstLine="0"/>
        <w:jc w:val="both"/>
      </w:pPr>
      <w:r>
        <w:rPr>
          <w:rFonts w:ascii="Times New Roman" w:hAnsi="Times New Roman" w:eastAsia="Times New Roman" w:cs="Times New Roman"/>
          <w:b w:val="0"/>
          <w:sz w:val="24"/>
        </w:rPr>
        <w:t>Phone: (202) 229-6047</w:t>
      </w:r>
    </w:p>
    <w:p>
      <w:pPr>
        <w:keepNext w:val="0"/>
        <w:spacing w:before="120" w:after="0" w:line="260" w:lineRule="exact"/>
        <w:ind w:left="360" w:right="0" w:firstLine="0"/>
        <w:jc w:val="left"/>
      </w:pPr>
      <w:r>
        <w:rPr>
          <w:rFonts w:ascii="Times New Roman" w:hAnsi="Times New Roman" w:eastAsia="Times New Roman" w:cs="Times New Roman"/>
          <w:b/>
          <w:sz w:val="24"/>
        </w:rPr>
        <w:t>PBGC Participant and Plan Sponsor Advocate Contact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Constance Donovan, PBGC, 1200 K Street, NW, Washington, DC 20005-4026</w:t>
      </w:r>
    </w:p>
    <w:p>
      <w:pPr>
        <w:keepNext w:val="0"/>
        <w:spacing w:before="60" w:after="0" w:line="260" w:lineRule="exact"/>
        <w:ind w:left="720" w:right="0" w:firstLine="0"/>
        <w:jc w:val="both"/>
      </w:pPr>
      <w:r>
        <w:rPr>
          <w:rFonts w:ascii="Times New Roman" w:hAnsi="Times New Roman" w:eastAsia="Times New Roman" w:cs="Times New Roman"/>
          <w:b w:val="0"/>
          <w:sz w:val="24"/>
        </w:rPr>
        <w:t>Email: Advocate@pbgc.gov</w:t>
      </w:r>
    </w:p>
    <w:p>
      <w:pPr>
        <w:keepNext w:val="0"/>
        <w:spacing w:before="60" w:after="0" w:line="260" w:lineRule="exact"/>
        <w:ind w:left="720" w:right="0" w:firstLine="0"/>
        <w:jc w:val="both"/>
      </w:pPr>
      <w:r>
        <w:rPr>
          <w:rFonts w:ascii="Times New Roman" w:hAnsi="Times New Roman" w:eastAsia="Times New Roman" w:cs="Times New Roman"/>
          <w:b w:val="0"/>
          <w:sz w:val="24"/>
        </w:rPr>
        <w:t>Phone: (202) 229-4488</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