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(the "Agreement") is entered into by and between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("Company B");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are sometimes collectively referred to herein as the "Parties" and each,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exchange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they may each receive and/or have access to information and materials concerning the other Party which is confidential.</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disclosed directly or indirectly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"Disclosing Party") to the other Party (the "Receiving Party"), whether written or oral, through any means of communication or observation. All Confidential Information shall remain the property of the Disclosing Party. This Agreement shall not require either Party to disclose any of its Confidential Information to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impose any obligation upon the Receiving Party with respect to information or data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 (d) is disclosed with the prior written consent of the Disclosing Party; or (e) is independently developed by the Receiving Party without use of the Disclosing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the event that Receiving Party is requested or required by legal action to disclose any of the Disclosing Party's Confidential Information,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applies to Confidential Information that is disclosed between the Effective Date and [number, e.g., one (1) year] thereafter. 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promptly return or, at the Disclosing Party's option, destroy all copies of Confidential Information at any time upon request by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All Confidential Information will remain the exclusive property of the Disclosing Party. The Parties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Disclosing Party warrants that it has the right to make the disclosures under this Agreement. NO OTHER WARRANTIES ARE MADE BY EITHER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be construed in accordance with the laws of the state of California excluding its conflict of law provisions.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