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(the "Agreement") is entered into by and between [name]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("Company B");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each,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each receive and/or have access to information and materials concerning the other Party which is confidential.</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 the purposes of this Agreement, "Confidential Information" shall include all nonpublic information disclosed directly or indirectly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"Disclosing Party") to the other Party (the "Receiving Party"), whether written or oral, through any means of communication or observation. All Confidential Information shall remain the property of the Disclosing Party. This Agreement shall not require either Party to disclose any of its Confidential Information to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impose any obligation upon the Receiving Party with respect to information or data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or becomes generally available to the public through no fault of the Receiving Party; (b) was rightfully in the possession of the Receiving Party prior to its receipt from the Disclosing Party; (c)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(d) is disclosed with the prior written consent of the Disclosing Party; or (e) is independently developed by the Receiving Party without use of the Disclosing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that Receiving Party is requested or required by legal action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applies to Confidential Information that is disclosed between the Effective Date and [number, e.g., one (1) year] thereafter.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shall promptly return or, at the Disclosing Party's option, destroy all copies of Confidential Information at any time upon request by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Confidential Information will remain the exclusive property of the Disclosing Party. The Parties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shall be construed in accordance with the laws of the state of Colorado excluding its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