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(the "Agreement") is entered into by and between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("Company B");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are sometimes collectively referred to herein as the "Parties" and each,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relationship giving rise to the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each receive and/or have access to information and materials concerning the other Party which is confidential.</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disclosed directly or indirectly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"Disclosing Party") to the other Party (the "Receiving Party"), whether written or oral, through any means of communication or observation. All Confidential Information shall remain the property of the Disclosing Party. This Agreement shall not require either Party to disclose any of its Confidential Information to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or data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(d) is disclosed with the prior written consent of the Disclosing Party; or (e) is independently developed by the Receiving Party without use of the Disclosing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the event that Receiving Party is requested or required by legal action to disclose any of the Disclosing Party's Confidential Information,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applies to Confidential Information that is disclosed between the Effective Date and [number, e.g., one (1) year] thereafter. 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Confidential Information will remain the exclusive property of the Disclosing Party. The Parties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be construed in accordance with the laws of the state of New Jersey excluding its conflict of law provisions.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