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National Fiduciary Accounting Standards Report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is the 1983 report of the National Fiduciary Accounting Standards Committee. It normalized standards and practices in the administration of estates and trusts that apply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fiduciary’s accounting and serves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elaboration of the requirements of Pa. Sup. Orph. Ct. R. 2.1 governing the form of accounts. The account must identify the dates of all receipts, disbursements, and distributions; the sources of the receipts; and the persons to whom disbursements and distributions were made. Principal and income are accounted for separately.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standards reflect the following principles: 1. Accounts should be stated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manner that is understandable by persons who are not familiar with practices and terminology peculiar to the administration of estates and trusts; 2.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fiduciary account shall begin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concise summary of its purpose and content; 3.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fiduciary account shall contain sufficient information to put the interested parties on notice as to all significant transactions affecting administration during the accounting period; 4.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fiduciary account shall include both carry values – representing the value of assets at acquisition – and current values at the beginning and end of the accounting period; 5. Gains and losses incurred during the accounting period shall be shown separately in the same schedule; and 6. The account shall show significant transactions that do not affect the amount for which the fiduciary is accountable.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more information on Orphan’s Court Rules, see Orphans’ Court Rules (PA). 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model estate account can be found online at: https://www.pacourts.us/Storage/media/pdfs/20210224/230120-modelestateacct-000817.pdf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model trust account can be found online at: https://www.pacourts.us/Storage/media/pdfs/20210224/230127-modeltrustacct-000818.pdf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