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Negotiated Acquisition Memorandum to Board of Directors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FORM</w:t>
      </w:r>
    </w:p>
    <w:p>
      <w:pPr>
        <w:keepNext w:val="0"/>
        <w:spacing w:before="200" w:after="0" w:line="260" w:lineRule="exact"/>
        <w:ind w:left="360" w:right="0" w:firstLine="0"/>
        <w:jc w:val="both"/>
      </w:pPr>
      <w:r>
        <w:rPr>
          <w:rFonts w:ascii="Times New Roman" w:hAnsi="Times New Roman" w:eastAsia="Times New Roman" w:cs="Times New Roman"/>
          <w:b w:val="0"/>
          <w:sz w:val="24"/>
        </w:rPr>
        <w:t>TO: Board of Directors of [company]</w:t>
      </w:r>
    </w:p>
    <w:p>
      <w:pPr>
        <w:keepNext w:val="0"/>
        <w:spacing w:before="200" w:after="0" w:line="260" w:lineRule="exact"/>
        <w:ind w:left="360" w:right="0" w:firstLine="0"/>
        <w:jc w:val="both"/>
      </w:pPr>
      <w:r>
        <w:rPr>
          <w:rFonts w:ascii="Times New Roman" w:hAnsi="Times New Roman" w:eastAsia="Times New Roman" w:cs="Times New Roman"/>
          <w:b w:val="0"/>
          <w:sz w:val="24"/>
        </w:rPr>
        <w:t>FROM: [name], [title/firm]</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SUBJECT: Key Issues in Planning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Company Acquisition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Negotiated Transaction</w:t>
      </w:r>
    </w:p>
    <w:p>
      <w:pPr>
        <w:keepNext w:val="0"/>
        <w:spacing w:before="200" w:after="0" w:line="260" w:lineRule="exact"/>
        <w:ind w:left="360" w:right="0" w:firstLine="0"/>
        <w:jc w:val="both"/>
      </w:pPr>
      <w:r>
        <w:rPr>
          <w:rFonts w:ascii="Times New Roman" w:hAnsi="Times New Roman" w:eastAsia="Times New Roman" w:cs="Times New Roman"/>
          <w:b w:val="0"/>
          <w:sz w:val="24"/>
        </w:rPr>
        <w:t>DATE: [date]</w:t>
      </w:r>
    </w:p>
    <w:p>
      <w:pPr>
        <w:keepNext w:val="0"/>
        <w:spacing w:before="200" w:after="0" w:line="260" w:lineRule="exact"/>
        <w:ind w:left="360" w:right="0" w:firstLine="0"/>
        <w:jc w:val="both"/>
      </w:pPr>
      <w:r>
        <w:rPr>
          <w:rFonts w:ascii="Times New Roman" w:hAnsi="Times New Roman" w:eastAsia="Times New Roman" w:cs="Times New Roman"/>
          <w:b w:val="0"/>
          <w:sz w:val="24"/>
        </w:rPr>
        <w:t>CC: [names]</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EXECUTIVE SUMMARY.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light of recent discussions regarding [company]’s (the “Company”) strategic options, this memorandum outlines and summarizes the key considerations for the Board of Directors (the “Board”) in planning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U.S. public company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non-hostile, negotiated transaction. The Board must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decisions at the outset of the transaction that will impact, among other things, the overall structure of the transaction. Given that the Company is in the initial stages of and process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possible transaction, the following are typical factors rather than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exhaustive list of the issues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negotiated acquisition. Should the Board decide to move forward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additional details as they become available (i.e., identity of target company, results of preliminary due diligence, target-specific considerations, such as business type, industry, and regulatory hurdles, etc.), may lead to other important factors that may impact the transaction.</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KEY CONSIDERATIONS.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Consideration to be Paid</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matter, the Board must determine the form of consideration the Company wishes to use to acquire the target company and the structure of the transaction, which often go hand-in-hand. Forms of consideration are: cash, stock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combination of both. Factors the Board should consider in determining the form of consideration include:</w:t>
      </w:r>
    </w:p>
    <w:p>
      <w:pPr>
        <w:keepNext w:val="0"/>
        <w:spacing w:before="200" w:after="0" w:line="260" w:lineRule="exact"/>
        <w:ind w:left="1440" w:right="0" w:firstLine="0"/>
        <w:jc w:val="both"/>
      </w:pPr>
      <w:r>
        <w:rPr>
          <w:rFonts w:ascii="Times New Roman" w:hAnsi="Times New Roman" w:eastAsia="Times New Roman" w:cs="Times New Roman"/>
          <w:b w:val="0"/>
          <w:sz w:val="24"/>
        </w:rPr>
        <w:t>•</w:t>
        <w:tab/>
        <w:t>current available funds;</w:t>
      </w:r>
    </w:p>
    <w:p>
      <w:pPr>
        <w:keepNext w:val="0"/>
        <w:spacing w:before="200" w:after="0" w:line="260" w:lineRule="exact"/>
        <w:ind w:left="1440" w:right="0" w:firstLine="0"/>
        <w:jc w:val="both"/>
      </w:pPr>
      <w:r>
        <w:rPr>
          <w:rFonts w:ascii="Times New Roman" w:hAnsi="Times New Roman" w:eastAsia="Times New Roman" w:cs="Times New Roman"/>
          <w:b w:val="0"/>
          <w:sz w:val="24"/>
        </w:rPr>
        <w:t>•</w:t>
        <w:tab/>
        <w:t>near-term cash needs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w:t>
        <w:tab/>
        <w:t>access to the debt markets and favorability of terms;</w:t>
      </w:r>
    </w:p>
    <w:p>
      <w:pPr>
        <w:keepNext w:val="0"/>
        <w:spacing w:before="200" w:after="0" w:line="260" w:lineRule="exact"/>
        <w:ind w:left="1440" w:right="0" w:firstLine="0"/>
        <w:jc w:val="both"/>
      </w:pPr>
      <w:r>
        <w:rPr>
          <w:rFonts w:ascii="Times New Roman" w:hAnsi="Times New Roman" w:eastAsia="Times New Roman" w:cs="Times New Roman"/>
          <w:b w:val="0"/>
          <w:sz w:val="24"/>
        </w:rPr>
        <w:t>•</w:t>
        <w:tab/>
        <w:t>the form of securities (i.e., common shares, preferred shares, or both);</w:t>
      </w:r>
    </w:p>
    <w:p>
      <w:pPr>
        <w:keepNext w:val="0"/>
        <w:spacing w:before="200" w:after="0" w:line="260" w:lineRule="exact"/>
        <w:ind w:left="1440" w:right="0" w:firstLine="0"/>
        <w:jc w:val="both"/>
      </w:pPr>
      <w:r>
        <w:rPr>
          <w:rFonts w:ascii="Times New Roman" w:hAnsi="Times New Roman" w:eastAsia="Times New Roman" w:cs="Times New Roman"/>
          <w:b w:val="0"/>
          <w:sz w:val="24"/>
        </w:rPr>
        <w:t>•</w:t>
        <w:tab/>
        <w:t>the Company’s willingness to issue additional shares and its potential dilutive effect to existing stockholders;</w:t>
      </w:r>
    </w:p>
    <w:p>
      <w:pPr>
        <w:keepNext w:val="0"/>
        <w:spacing w:before="200" w:after="0" w:line="260" w:lineRule="exact"/>
        <w:ind w:left="1440" w:right="0" w:firstLine="0"/>
        <w:jc w:val="both"/>
      </w:pPr>
      <w:r>
        <w:rPr>
          <w:rFonts w:ascii="Times New Roman" w:hAnsi="Times New Roman" w:eastAsia="Times New Roman" w:cs="Times New Roman"/>
          <w:b w:val="0"/>
          <w:sz w:val="24"/>
        </w:rPr>
        <w:t>•</w:t>
        <w:tab/>
        <w:t>registration of shares to be issued;</w:t>
      </w:r>
    </w:p>
    <w:p>
      <w:pPr>
        <w:keepNext w:val="0"/>
        <w:spacing w:before="200" w:after="0" w:line="260" w:lineRule="exact"/>
        <w:ind w:left="1440" w:right="0" w:firstLine="0"/>
        <w:jc w:val="both"/>
      </w:pPr>
      <w:r>
        <w:rPr>
          <w:rFonts w:ascii="Times New Roman" w:hAnsi="Times New Roman" w:eastAsia="Times New Roman" w:cs="Times New Roman"/>
          <w:b w:val="0"/>
          <w:sz w:val="24"/>
        </w:rPr>
        <w:t>•</w:t>
        <w:tab/>
        <w:t>tax considerations</w:t>
      </w:r>
    </w:p>
    <w:p>
      <w:pPr>
        <w:keepNext w:val="0"/>
        <w:spacing w:before="200" w:after="0" w:line="260" w:lineRule="exact"/>
        <w:ind w:left="1440" w:right="0" w:firstLine="0"/>
        <w:jc w:val="both"/>
      </w:pPr>
      <w:r>
        <w:rPr>
          <w:rFonts w:ascii="Times New Roman" w:hAnsi="Times New Roman" w:eastAsia="Times New Roman" w:cs="Times New Roman"/>
          <w:b w:val="0"/>
          <w:sz w:val="24"/>
        </w:rPr>
        <w:t>•</w:t>
        <w:tab/>
        <w:t>additional approvals required, if any, depending on the number of common shares to be issued; and</w:t>
      </w:r>
    </w:p>
    <w:p>
      <w:pPr>
        <w:keepNext w:val="0"/>
        <w:spacing w:before="200" w:after="0" w:line="260" w:lineRule="exact"/>
        <w:ind w:left="1440" w:right="0" w:firstLine="0"/>
        <w:jc w:val="both"/>
      </w:pPr>
      <w:r>
        <w:rPr>
          <w:rFonts w:ascii="Times New Roman" w:hAnsi="Times New Roman" w:eastAsia="Times New Roman" w:cs="Times New Roman"/>
          <w:b w:val="0"/>
          <w:sz w:val="24"/>
        </w:rPr>
        <w:t>•</w:t>
        <w:tab/>
        <w:t>the structure of the transaction and any timing constraints or considerations, as discussed below.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Generally, cash transactions have the benefit of being faster because there are more securities law requirements applicable to stock consideration. Disadvantages of cash acquisitions include use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portion or all of available company funds and/or the additional burden and timing of obtaining financing for the transaction, including potential negative impact on the company’s leverage and credit ratings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financing.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On the other hand, transactions involving consideration that is all or in part company stock have little, if any, impact on the company’s liquidity and avoid the additional restrictions on Company operations typically imposed by sources of debt financing, but for some companies, solely cash consideration may not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Terms in the merger agreement will subject the acquirer to greater exposure and potential liability and, because the transaction involves stock, review and approval of filings with the Securities and Exchange Commission (the “SEC”) will be required, which subjects the transaction to extended waiting periods and potential delays.</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Structure of Transaction</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mentioned, the form of consideration should be considered in conjunction with the structure of the transaction. Deals between public companies are almost always structured as mergers because of the number of stockholders involved. While there are numerous forms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can be completed, there are two common structures: (1)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one-step merger, typically accomplished in the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reverse-triangular merger with the target company surviving the merger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wholly-owned subsidiary of the acquirer, or (2)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two-step merger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tender offer or exchange offer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back-end merger.</w:t>
      </w:r>
    </w:p>
    <w:p>
      <w:pPr>
        <w:keepNext w:val="0"/>
        <w:spacing w:before="120" w:after="0" w:line="260" w:lineRule="exact"/>
        <w:ind w:left="144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One-Step Merger Structure</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one-step merger,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statutory merger, requires the cooperation and approval of the boards of both the acquirer and the target company to negotiate, finalize and approve the merger agreement, as well as the approval of the target company’s stockholders and in some cases, the acquirer’s stockholders. One-step mergers are typically in the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reverse triangular merger. If structured as such, the Company would 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wholly-owned subsidiary (the “Merger Sub”) for purposes of acquiring the target company. At the time of the merger, the Merger Sub merges with and into the target company with the target company surviving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wholly-owned subsidiary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Two-Step Merger Structure</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two-step merger consists of two steps: (1)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tender offer or exchange offer from the acquirer following which, the acquirer is able to gain control of the target company, then (2)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to complete the acquisition. The difference between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tender offer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exchange offer is the consideration offered to the target company stockholders.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tender offer, the Company would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offer to the target company’s stockholders to purchase their shares for cash, whereas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exchange offer, the Company would directly offer to exchange the target stockholders’ shares for cash and/or shares of the Company. Individual stockholders decide whether to tender or exchange their shares, as applicable, but are not obligated to do so.</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After the first step, the offer, is completed, the Company will be able to complete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“back end” merger, the result of which is the target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wholly-owned subsidiary of the Company. The target company’s stockholders must approve the back-end merger unless the Company acquires at least 90% of the target company’s outstanding shares.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This second-step can take the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long-form merger, discussed in this memorandum as the one-step or statutory merger and requires target company stockholder approval, as well as the filing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proxy statement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statement/prospectus, as detailed below,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short-form merger.</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Advantages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short-form merger under DGCL §251(h) include swift consummation after the public offer and that Delaware law only requires that the acquirer obtain more than 50% of the target company’s shares to effectuate the back-end merger without stockholder approval. Requirements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short-form merger include (i)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explicit reference to DGCL §251(h) in the merger agreement permitting or requiring the utilization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short-form merger, (ii) that the offer to purchase the target company’s shares have been for all of the outstanding shares of the target company entitled to vote to approve the merger and the merger agreement, and (iii) after the public offer is consummated, the acquirer owning at least the minimum percentage of shares required to approve the merger pursuant to Delaware law and the target company’s organizational documents. DGCL §251(h). Note that DGCL §251(h) is applicable to tender offers, but not exchange offers.</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Merger Agreement and Key Provisions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The merger agreement is the definitive document in which the parties set forth the key terms and conditions of the acquisition. Some of these terms and conditions may have been discussed and agreed upon in the term sheet or letter of intent, if any, between the parties. While such terms may be agreed upon in concept, it is in the merger agreement that every detail of each term and condition is negotiated and agreed upon.</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typical merger agreement will include, among other things, the purchase price; representations and warranties of the target and, in some cases depending on the form of consideration, the Company; conditions to each party’s obligation to close the transaction; deal protection provisions such as no-shops and/or break-up fees; and termination rights. In the context of public company acquisitions, indemnification provisions are generally not included in or are limited where the provisions are included because public company acquirers are more likely to use any breaches by the target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means of terminating the agreement as opposed to closing over the breach and seeking indemnification after-the-fact.</w:t>
      </w:r>
    </w:p>
    <w:p>
      <w:pPr>
        <w:keepNext w:val="0"/>
        <w:spacing w:before="120" w:after="0" w:line="260" w:lineRule="exact"/>
        <w:ind w:left="1080" w:right="0" w:firstLine="0"/>
        <w:jc w:val="left"/>
      </w:pPr>
      <w:r>
        <w:rPr>
          <w:rFonts w:ascii="Times New Roman" w:hAnsi="Times New Roman" w:eastAsia="Times New Roman" w:cs="Times New Roman"/>
          <w:b w:val="0"/>
          <w:sz w:val="24"/>
        </w:rPr>
        <w:t>Representations and Warranties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scope of each representation and warranty varies and is dependent mainly on the target company. The representations and warranties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way for the Company to elicit additional disclosure from the target company as the provisions are negotiated. Typical representations and warranties include those relating to the target company’s capitalization, organization, litigation exposure, undisclosed liabilities, financial statements, material relationships and agreements, environmental issues, tax compliance, securities law compliance, and general compliance with the law. These representations and warranties are typically heavily negotiated as the company seeks to confirm its due diligence review and prepare for post-closing integration and both parties attempt to shift risk for unknown business risks.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Company will make representations about its corporate existence, authorization of the transaction and possibly regarding its financial ability to pay the consideration for the target’s shares. If the Company includes stock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receive stock)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of consideration, the target will seek to include additional representations and warranties from the Company in order to provide information for its stockholders as to the value they will receive as consideration for their shares. The Company could attempt to limit these representations and warranties by including knowledge and materiality qualifiers to limit the Company’s exposure to only significant facts that management is aware of.</w:t>
      </w:r>
    </w:p>
    <w:p>
      <w:pPr>
        <w:keepNext w:val="0"/>
        <w:spacing w:before="120" w:after="0" w:line="260" w:lineRule="exact"/>
        <w:ind w:left="1080" w:right="0" w:firstLine="0"/>
        <w:jc w:val="left"/>
      </w:pPr>
      <w:r>
        <w:rPr>
          <w:rFonts w:ascii="Times New Roman" w:hAnsi="Times New Roman" w:eastAsia="Times New Roman" w:cs="Times New Roman"/>
          <w:b w:val="0"/>
          <w:sz w:val="24"/>
        </w:rPr>
        <w:t>Conditions Precedent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Merger agreements also include conditions precedent to the Company’s and the target’s obligations to consummate the transaction. One of the key conditions that concerns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that the target company has not suffered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change to its business, financial condition or otherwise between the execution of the merger agreement and the effectiveness of the merger. If such event shall occur, the Company may choose to terminate the merger agreement and walk away from the transaction.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tender offer or exchange offer, another common condition is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minimum percentage of shares participate in the offer.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minimum tender condition sets the threshold at which the Company would be obligated to purchase the shares and consummate the transaction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percentage of the target company’s shares is tendered or exchanged. Unless and until the Company acquires such percentage of shares, typically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target company’s outstanding shares, the Company is not obligated to complete the purchase and subsequent merger.</w:t>
      </w:r>
    </w:p>
    <w:p>
      <w:pPr>
        <w:keepNext w:val="0"/>
        <w:spacing w:before="200" w:after="0" w:line="260" w:lineRule="exact"/>
        <w:ind w:left="1440" w:right="0" w:firstLine="0"/>
        <w:jc w:val="both"/>
      </w:pPr>
      <w:r>
        <w:rPr>
          <w:rFonts w:ascii="Times New Roman" w:hAnsi="Times New Roman" w:eastAsia="Times New Roman" w:cs="Times New Roman"/>
          <w:b w:val="0"/>
          <w:sz w:val="24"/>
        </w:rPr>
        <w:t>Other common closing conditions include obtaining stockholder approval, regulatory approval(s), if any, and confirmation that the parties’ representations and warranties remain true and correct.</w:t>
      </w:r>
    </w:p>
    <w:p>
      <w:pPr>
        <w:keepNext w:val="0"/>
        <w:spacing w:before="120" w:after="0" w:line="260" w:lineRule="exact"/>
        <w:ind w:left="1080" w:right="0" w:firstLine="0"/>
        <w:jc w:val="left"/>
      </w:pPr>
      <w:r>
        <w:rPr>
          <w:rFonts w:ascii="Times New Roman" w:hAnsi="Times New Roman" w:eastAsia="Times New Roman" w:cs="Times New Roman"/>
          <w:b w:val="0"/>
          <w:sz w:val="24"/>
        </w:rPr>
        <w:t>Deal Protections Provisions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In the letter of intent, the Company’s will likely negotiate and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exclusivity provision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set period of time. The exclusivity provision prevents the target company from soliciting and negotiating proposals from other companies while it negotiates the merger agreement with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In the merger agreement, the exclusivity provision will be replaced by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go-shop or no-shop clause.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go-shop clause permits the target to entertain competing offers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time to 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market-check on the Company’s offer.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no-shop prohibits any negotiations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competing deal. These clauses usually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fiduciary-out which permits the target to present superior bids to its stockholders and possibly terminate any agreements with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the target terminates the deal based on its fiduciary out, it will usually owe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fee (also known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break-up fee). The amount and conditions related to break-up fees are deal-dependent and are typically determined based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of the transaction’s equity value.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break-up fee will motivate the target company to complete the transaction while providing the Company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monetary payment in case of such occurrence (in addition to any other equitable law remedies available). The target may also want the Company to agree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reverse termination fee that would be payable in the event that the deal does not close based on the failure of the Company’s closing obligations (such as obtaining regulatory approvals).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In addition, to the extent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target company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larger stockholder, the Company should additionally seek to obtain deal protection from such stockholder to ensure its tender or exchange of shares in the transaction by way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and support agreement.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Any deal protection provisions will be scrutinized by the courts in any eventual stockholder litigation and protections that are considered preclusive or coercive (such as excessive termination fees or voting agreements from stockholders representing too high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of shares) may be overturned by the Delaware courts.</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Regulatory Approvals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Consummation of the merger pursuant to the merger agreement will be conditioned upon obtaining antitrust, or Hart-Scott-Rodino Act, clearance and any other industry-specific regulatory approval. Antitrust clearance is required for any transaction if (i) the transaction is valued at over $84.4 million but less than $337.6 million, and (ii) one party has at least $168.8 million in annual net sales or total assets and the other party has at least $16.9 million in annual net sales or total assets. Should such clearance be required,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preclearance filing with the Federal Trade Commission will be made by the parties, but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waiting period before clearance must be provided (if approved), although early clearance may be provided before then.</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any other industry-specific regulatory approvals, the Company and target company will need to file with and obtain clearance from the SEC for the transaction.</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 Filings and Timing</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Because the parties to the transaction are public companies, they must make filings with the SEC relating to the merger, but the type of forms, the approval process and the timeline from initial filing with the SEC and closing varies depending on the type of transaction and the form of consideration. Generally, in any merger transaction, the stockholders of the target must approve the transaction, and therefore the target must prepare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proxy statement on Schedule 14A to inform its stockholders as to the proposed transaction, the stockholders’ rights and options in the proposed transaction and to solicit their approval and/or tender or exchange of shares. If the transaction consideration includes Company stock, those shares must be registered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S-4, which includes many of the same disclosures required by Schedule 14A. In that case, since the disclosures required by both forms are almost identical, the parties typically draft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proxy statement/prospectus on Form S-4 to satisfy the Securities Act and Exchange Act requirements for both companies and each party files the nearly identical document.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one-step merger transaction, once the proxy statement, registration statement or combined filing has been filed with the SEC, the SEC has ten calendar days to notify the filer as to whether it will review the filing. If the SEC chooses to review, it has 30 days from the date of filing to comment on the filing. This begins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review, comment and company response process that may take weeks or months to complete depending on the complexity of the deal and the SEC comments. In some cases, deal structure or key terms may need to be altered to satisfy SEC comments or concerns.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two-step merger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tender offer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exchange offer, the initial filing with the SEC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TO, filed by the Company, which includes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purchase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tender offer)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exchange offer/prospectus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exchange offer). The Schedule TO is similar to the merger proxy statement as it sets forth the pertinent details of the deal, such as information of the acquirer, including financial information, the acquirer’s offer to the stockholders, and the conditions to the offer. If stock consideration is included, the Company would also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on Form S-4 registering those shares with the Schedule TO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exhibit. In addition, the target company will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14D-9 with the recommendation of its board of directors in favor of (or, in rare cases where the target board has changed its recommendation, opposition to) the offer.</w:t>
      </w:r>
    </w:p>
    <w:p>
      <w:pPr>
        <w:keepNext w:val="0"/>
        <w:spacing w:before="120" w:after="0" w:line="260" w:lineRule="exact"/>
        <w:ind w:left="72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Stockholder Approvals and Meeting</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Usually, the target company’s stockholders must approve the merger transaction for both one-step mergers and the back-end mergers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two-step merger.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exception to the requirement for stockholder approval for back-end mergers is if the transaction is completed in compliance with DGCL §251(h), which provides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short-form merger without stockholder approval as discussed above under Structure of Transaction – Two-Step Merger Structure.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Although the acquirer’s stockholders are not usually required to approve the transaction, there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number of circumstances the Board should keep in mind that do trigger the need for stockholder approval. If the transaction includes stock consideration and the Company’s charter does not authorize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sufficient number of shares needed for the merger, the Company’s stockholders would need to approve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charter amendment to increase the number of authorized shares. In addition, if the number of shares of the Company’s stock to be issued or reserved in the transaction exceeds 20% of the shares of the Company’s common stock immediately prior to the effectiveness of the merger, then the Company will need to obtain approval from its stockholders. DGCL §251(f). Exchange rules may also require approval of the company’s stockholders if the 20% share issuance threshold is passed. It is therefore important to consider whether to include stock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of consideration and, if so, how much.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Whether only one or both parties require stockholder approval,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important timing consideration is the length of time between mailing of the proxy statement/prospectus following SEC clearance and the date of the stockholder meeting. In most cases,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stockholders will be called, but if the timing coincides, the vote may be included as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company’s regularly scheduled meeting of the stockholders. While there is no federal requirement for the number of days needed between mailing and the meeting, there are several requirements to keep in mind, including:</w:t>
      </w:r>
    </w:p>
    <w:p>
      <w:pPr>
        <w:keepNext w:val="0"/>
        <w:spacing w:before="200" w:after="0" w:line="260" w:lineRule="exact"/>
        <w:ind w:left="1440" w:right="0" w:firstLine="0"/>
        <w:jc w:val="both"/>
      </w:pPr>
      <w:r>
        <w:rPr>
          <w:rFonts w:ascii="Times New Roman" w:hAnsi="Times New Roman" w:eastAsia="Times New Roman" w:cs="Times New Roman"/>
          <w:b w:val="0"/>
          <w:sz w:val="24"/>
        </w:rPr>
        <w:t>•</w:t>
        <w:tab/>
        <w:t>if any information is incorporated by reference into S-4, the SEC requires that the Form be sent to stockholders at least 20 days prior to the schedule vote;</w:t>
      </w:r>
    </w:p>
    <w:p>
      <w:pPr>
        <w:keepNext w:val="0"/>
        <w:spacing w:before="200" w:after="0" w:line="260" w:lineRule="exact"/>
        <w:ind w:left="1440" w:right="0" w:firstLine="0"/>
        <w:jc w:val="both"/>
      </w:pPr>
      <w:r>
        <w:rPr>
          <w:rFonts w:ascii="Times New Roman" w:hAnsi="Times New Roman" w:eastAsia="Times New Roman" w:cs="Times New Roman"/>
          <w:b w:val="0"/>
          <w:sz w:val="24"/>
        </w:rPr>
        <w:t>•</w:t>
        <w:tab/>
        <w:t>Delaware also requires that proxy materials be sent to stockholders at least 20 days prior to the vote; and</w:t>
      </w:r>
    </w:p>
    <w:p>
      <w:pPr>
        <w:keepNext w:val="0"/>
        <w:spacing w:before="200" w:after="0" w:line="260" w:lineRule="exact"/>
        <w:ind w:left="1440" w:right="0" w:firstLine="0"/>
        <w:jc w:val="both"/>
      </w:pPr>
      <w:r>
        <w:rPr>
          <w:rFonts w:ascii="Times New Roman" w:hAnsi="Times New Roman" w:eastAsia="Times New Roman" w:cs="Times New Roman"/>
          <w:b w:val="0"/>
          <w:sz w:val="24"/>
        </w:rPr>
        <w:t>•</w:t>
        <w:tab/>
        <w:t>practically, the parties want to allow sufficient time for solicitation of proxies, which period is usually agreed upon in the merger agreement.</w:t>
      </w:r>
    </w:p>
    <w:p>
      <w:pPr>
        <w:keepNext w:val="0"/>
        <w:spacing w:before="120" w:after="0" w:line="260" w:lineRule="exact"/>
        <w:ind w:left="72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Appraisal Rights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Target company stockholders that do not vote in favor of (either by voting no or abstaining) the merger may be entitled to appraisal rights. Once the merger is consummated, these stockholders will no longer own shares of the target company but are afforded appraisal rights for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will determine the fair value of the shares they lost. These stockholders are at the mercy of the court’s valuation, which may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payment of the shares that is less than, equal to, or greater than the consideration offered by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Appraisal rights are not available to stockholders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tender offer or exchange offer, except with respect to the back-end merger portion of the transaction. When the offer is made by the Company directly to the target company stockholders, they may choose not to tender or exchange their shares. Once the offer is completed and the Company acquires control of the target company, the back-end merger in essence “squeezes out” the remaining stockholders. It is during this back-end merger, that the stockholder may gain appraisal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To protect the Company against excessive stockholder exercise of appraisal rights, which can be costly to litigate and pay, the merger agreement may contain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to closing such that that the Company need not consummate the merger if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exceeding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percentage have given notice of their intent to pursue appraisal rights prior to the closing.</w:t>
      </w:r>
    </w:p>
    <w:p>
      <w:pPr>
        <w:keepNext w:val="0"/>
        <w:spacing w:before="120" w:after="0" w:line="260" w:lineRule="exact"/>
        <w:ind w:left="72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Communications Relating to the Acquisition</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Securities regulations require that certain communications, including the announcement of the acquisition, interim press releases, and merger-related communications with employees, regarding the transaction must be filed with the SEC. The Company should develop and adhere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communications plan to ensure that all communications relating to the acquisition are monitored for compliance with securities laws.</w:t>
      </w:r>
    </w:p>
    <w:p>
      <w:pPr>
        <w:keepNext w:val="0"/>
        <w:spacing w:before="200" w:after="0" w:line="260" w:lineRule="exact"/>
        <w:ind w:left="1080" w:right="0" w:firstLine="0"/>
        <w:jc w:val="both"/>
      </w:pPr>
      <w:r>
        <w:rPr>
          <w:rFonts w:ascii="Times New Roman" w:hAnsi="Times New Roman" w:eastAsia="Times New Roman" w:cs="Times New Roman"/>
          <w:b w:val="0"/>
          <w:sz w:val="24"/>
        </w:rPr>
        <w:t>We further caution that, as with any corporate communication, disclosure of information regarding the contemplated transaction to select individuals may be considered disclosure of material non-public information, putting the Company, the transaction and the disclosing individual at risk for violations of securities regulations, including Regulation FD.</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Transaction Litigation and Fiduciary Duties of the Board</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Public company mergers and acquisitions frequently result in litigation arising from the transactions. Often, these suits are brought by plaintiff’s attorneys, on behalf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target stockholder, claiming that the disclosure in the target’s proxy statement is insufficient or that the board of directors did not fulfill its fiduciary duties in approving the transaction.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there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bidder for the target, Delaware courts usually do not prevent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deal from closing based on litigation if it has been approved by the stockholders, but they may require that the target delay its stockholder vote and provide additional information regarding the transaction. Even if the transaction is not delayed, these claims may still result in liability for the target, and if they are decided after the closing, the acquirer.</w:t>
      </w:r>
    </w:p>
    <w:p>
      <w:pPr>
        <w:keepNext w:val="0"/>
        <w:spacing w:before="200" w:after="0" w:line="260" w:lineRule="exact"/>
        <w:ind w:left="1080" w:right="0" w:firstLine="0"/>
        <w:jc w:val="both"/>
      </w:pPr>
      <w:r>
        <w:rPr>
          <w:rFonts w:ascii="Times New Roman" w:hAnsi="Times New Roman" w:eastAsia="Times New Roman" w:cs="Times New Roman"/>
          <w:b w:val="0"/>
          <w:sz w:val="24"/>
        </w:rPr>
        <w:t>While litigation by the acquirer’s stockholders is less common, the Board must still keep its fiduciary duties of loyalty, care and good faith in mind as it plans and negotiates the acquisition. In particular, each director should be mindful of any conflicts of interests or potential conflicts that may call into question his or her independent decision-making.</w:t>
      </w:r>
    </w:p>
    <w:p>
      <w:pPr>
        <w:keepNext w:val="0"/>
        <w:spacing w:before="120" w:after="0" w:line="260" w:lineRule="exact"/>
        <w:ind w:left="72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Closing</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Once the acquisition has been approved by the necessary regulatory authorities and stockholder vote, the parties can complete the transaction at the closing. The closing may be effected in person or remotely, depending on the preferences of the parties. At the closing, the Company will pay the consideration to the stockholders of the target, both parties will delivery any other required closing items (certificates, consents, employment agreements, etc.), and the Company will file the certificate of merger with the State of Delaware which will complete the merger.</w:t>
      </w:r>
    </w:p>
    <w:p>
      <w:pPr>
        <w:keepNext w:val="0"/>
        <w:spacing w:before="120" w:after="0" w:line="260" w:lineRule="exact"/>
        <w:ind w:left="72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Post-Closing Considerations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the time leading up to the closing and thereafter, the Company will need to develop and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integration plan to ensure seamless and continued business operations on day one following the closing. Some of the post-closing issues that should be arranged prior to closing, such as the post-closing governance structure of the surviving company, any government licenses that need to be in place after the acquisition, and other consents that may be required under the target company’s significant customer and supplier contracts. In addition, the Company will need to plan for integration of the employees and operations of the companies; it may be advisable to engage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consultant to ensure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smooth transition.</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CONCLUSION.</w:t>
      </w:r>
    </w:p>
    <w:p>
      <w:pPr>
        <w:keepNext w:val="0"/>
        <w:spacing w:before="200" w:after="0" w:line="260" w:lineRule="exact"/>
        <w:ind w:left="720" w:right="0" w:firstLine="0"/>
        <w:jc w:val="both"/>
      </w:pPr>
      <w:r>
        <w:rPr>
          <w:rFonts w:ascii="Times New Roman" w:hAnsi="Times New Roman" w:eastAsia="Times New Roman" w:cs="Times New Roman"/>
          <w:b w:val="0"/>
          <w:sz w:val="24"/>
        </w:rPr>
        <w:t>We look forward to discussing the foregoing key considerations and any questions you may have at our upcoming meeting. We appreciate your time and oversight as the Company prepares to grow its business and brand. If you have any questions prior to the meeting, please feel free to reach out to me at [phone number] or by email at [email 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