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New York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subject to the trust fund provisions of Section Thirteen of the Lien Law,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 </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New York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