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Non-competition, Confidentiality and Non-solicitation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Non-competition, Confidentiality and Non-solicitation Agreement (“Agreement”) is entered into as of [date],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[name of state] corporation (the "Company"), located in the [name of city], State of [name of state], and [name of individual stockholder/company official],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[street address], [name of city], State of [name of state] (the "Stockholder").</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[name of selling entity]  (the "Seller").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Seller and the Company have entered into the [name of document, e.g. asset purchase agreement] dated [date] (the "Purchase Agreement"), pursuant to which Seller is on [date] selling and transferring to the Company the assets of its business, which is engaged in the [description of Seller’s business, e.g. development, manufacture and distribution of specialty plastic products] that it markets and distributes to regional, national and international accounts (the "Business").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Company’s obligation to consummate the transactions contemplated by the Purchase Agreement that the Stockholder execute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will derive substantial economic benefit from the sale of the Business to the Company pursuant to the Purchase Agreement.</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acknowledges that the Company is acquiring the Business because of synergies with the Company's existing business and the opportunities to expand the Business, and that the Company would not effect the closing of the transactions contemplated by the Purchase Agreement unless the Stockholder agrees to the terms of this Agreement and executes and delivers this Agreement to the Company at such closing.</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for other good and valuable consideration, the receipt and sufficiency of which are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terms, as used in this agreement, shall have the following meanings: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"Confidential Information" means any information which is proprietary or unique to the Business, including but not limited to trade secret information, matters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technical nature such as processes, devices, techniques, data and formulas, research subjects and results, marketing methods, plans and strategies, operations, products, revenues, expenses, profits, sales, key personnel, customers, suppliers, pricing policies, any information concerning the marketing and other business affairs and methods of the Business which is not readily available to the public.</w:t>
      </w:r>
    </w:p>
    <w:p>
      <w:pPr>
        <w:keepNext w:val="0"/>
        <w:spacing w:before="200" w:after="0" w:line="260" w:lineRule="exact"/>
        <w:ind w:left="1080" w:right="0" w:firstLine="0"/>
        <w:jc w:val="both"/>
      </w:pPr>
      <w:r>
        <w:rPr>
          <w:rFonts w:ascii="Times New Roman" w:hAnsi="Times New Roman" w:eastAsia="Times New Roman" w:cs="Times New Roman"/>
          <w:b w:val="0"/>
          <w:sz w:val="24"/>
        </w:rPr>
        <w:t>"Restricted Business" means any business activity relating to the development, manufacture, marketing, distribution or sale of [description, e.g. specialty plastic products, clocks or glass products for clocks] in [applicable geographic territory in which the business is conducted, e.g. any country or territory in the world].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stock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unincorporated organization,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entity (or any department, agency, or political subdivision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acknowledges that in connection with the Stockholder's ownership and/or employment in the Business, the Stockholder has obtained Confidential Information, and the Stockholder agrees that the Stockholder will not disclose to any Person or entity any Confidential Information, except with the Company's express prior written consent, which consent shall be at the Company’s sole and absolute discretion. The confidentiality obligations imposed by this paragraph 2 shall cease to apply to any item of Confidential Information after the </w:t>
      </w:r>
      <w:r>
        <w:rPr>
          <w:rFonts w:ascii="Times New Roman" w:hAnsi="Times New Roman" w:eastAsia="Times New Roman" w:cs="Times New Roman"/>
          <w:b w:val="0"/>
          <w:sz w:val="24"/>
        </w:rPr>
        <w:t>earliest</w:t>
      </w:r>
      <w:r>
        <w:rPr>
          <w:rFonts w:ascii="Times New Roman" w:hAnsi="Times New Roman" w:eastAsia="Times New Roman" w:cs="Times New Roman"/>
          <w:b w:val="0"/>
          <w:sz w:val="24"/>
        </w:rPr>
        <w:t xml:space="preserve"> of the date on which the Stockholder provides the Company with written evidence clearly establishing that such item of Confidential Information: (i) was publicly available prior to the Stockholder's receipt of such item of Confidential Information from the Company, (ii) has become generally known to the public in the United States through no fault of the Stockholder, or (iii) is rightfully obtained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the right to transfer or disclose that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NON-SOLICITATION AND NONDISPARAGEMENT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acknowledges and agrees with the Company that during the course of the Stockholder's ownership and/or employment with the Business, the Stockholder has had the opportunity to develop relationships with existing employees, customers and other business associates of the Business, which relationships constitute goodwill of the Business being acquired by the Company, and the Stockholder acknowledges and agrees that the Company would be irreparably damaged if the Stockholder were to take actions that would damage or misappropriate such goodwill. The Stockholder accordingly covenants and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Stockholder acknowledges that the Business is currently conducted throughout [applicable territory, e.g. the world] and that the Company has plans to expand the Business to take advantage of synergies between the Business and the Company's [description, e.g. glass business] and of other opportunities to expand the Business. Accordingly, in consideration of the Company closing the transactions contemplated by the Purchase Agreement, from the date hereof until the [number of years, e.g. tenth (10th)] anniversary of the date hereof (the "Restricted Period"), the Stockholder shall not, directly or indirectly, enter into, engage in, assist, give or lend funds to or otherwise finance, be employed by or consult with,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or equity interest in,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or other interest in, any business which engages in any aspect of the Restricted Business, whether for or by [himself/herself]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agent, stockholder, partner or joint venturer for any other Person, provided that the aggregate ownership by the Stockholder of no more than [percentage, e.g. two percent (2%)] of the outstanding equity securities of any Person, which securities are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or foreign securities exchange, quoted on the Nasdaq Stock Market or other automated quotation system shall not be deemed to be giving or lending funds to, otherwise financing or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In the event that any Person in which the Stockholder has any financial or other interest directly or indirectly enters into the Restricted Business during the Restricted Period, the Stockholder shall divest all of his interest (other than any amount permitted under this paragraph) in such Person within [time period, e.g. 30] days after such Person enters into any aspect of the Restricted Business.</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Stockholder covenants and agrees that, during the Restricted Period, the Stockholder will not, directly or indirectly, either for himself or for any other Person (i) solicit any employee of the Company to terminate his or her employment with the Company or employ any such individual during his or her employment with the Company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(6) months after such individual terminates employment with the Company, (ii) solicit any supplier to the Company to purchase or distribute information, products or services of or on behalf of the Stockholder or such other Person that are competitive with the information, products or services provided by the Company, or (iii) take any action, including without limitation the making of disparaging statements concerning the Company or its officers, directors or employees, that is reasonably likely to cause injury to the relationships between the Company or any of its employees and any lessor, lessee, vendor, supplier, customer, distributor, employee, consultant or other business associate of the Company, as such relationship relates to the Company's conduct of the Restricted Business.</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Stockholder understands that the foregoing restrictions may limit the Stockholder's ability to earn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livelihood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similar to the Restricted Business, but the Stockholder nevertheless believes that the Stockholder has received and will receive sufficient consideration and other benefits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closing of the transactions contemplated by the Purchase Agreement to clearly justify such restrictions which, in any event (given the Stockholder's education, skills and ability), the Stockholder does not believe would prevent him from otherwise earning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The Stockholder agrees that the restrictions contained in this Agreement, including but not limited to the time period and geographic limitations, are (i) reasonable in all respects for the protection of the Company’s legitimate business interests, (ii) do not unreasonably interfere with or burden any interest or right of the Stockholder, (iii) do not violate public policy and (iv) are fully enforceable now and in the future against the Stockholder in accordance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the violation or threatened violation by the Stockholder of any of the covenants contained in this Agreement, in addition to any other remedy available in law or in equity, the Company shall have (i) the right and remedy of specific enforcement, including injunctive relief, it being acknowledge and agreed that any such violation or threatened violation will cause irreparable injury to the Company and that monetary damages will not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and (ii) the right to any and all damages available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and costs and expenses incurred by the Company in pursuing its rights under this Agreement, including reasonable attorneys' fees and other litigation expenses.  </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REFORMATION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Stockholder and Company have attempted to limit the Stockholder’s right to compete only to the extent necessary to protect the Company from unfair competition and to safeguard its business interests, including the assets acquired pursuant to the Purchase Agreement.  The Stockholder and Company recognize that the laws and public policies of the various states of the Unite States, as well as the different countries throughout the World, may differ as to the validity and enforceability of certain provisions set forth in this Agreement.  It is the intention of the parties that all provision of this Agreement shall be enforced to the fullest extent possible under the laws and public policies of each state, country and jurisdiction in which such enforcement is sought.  Consequently, the parties hereby agree that in the event that the scope or enforceability of any of the provisions of this Agreement is ever disputed or should ever be deemed to exceed the duration, geographic limitations or scope permitted by applicable law,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modify, reform and enforce such provisions to the extent that it determines to be reasonable under the circumstances and, as the case may be, permitted by applicable laws.  The Stockholder and Company agree that the unenforceability of any provision of this Agreement, or the modification of any provision to conform to applicable laws or public policies, shall not render unenforceable or impair the remainder of this Agreement.  Accordingly, if any provision of this Agreement shall be determined to be invalid or unenforceable, either in whole or part, this Agreement shall be deemed amended to delete or modify, only as necessary, the offending provision or provisions as narrowly as possible and to alter the balance of the Agreement in order to render it valid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Should any covenant, term or condition contained in this Agreement become or be declared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 parties agree that the court shall be requested to judicially modify such unenforceable provision consistent with the intent of this Agreement so that it shall be enforceable to the fullest extent possible.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 JURISDICTION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interpreted and enforced according to the statutes, rules of law and court decisions of the State of [name of state] without regard to conflict of law provisions. The parties hereby submits to the jurisdiction of, and waive any venue objections against, the State of [name of state] and the federal courts of the United States located in such state in respect of all actions arising out of or in connection with the interpretation or enforcement of this Agreement, and the parties consent to the personal jurisdiction of such courts for such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AMENDMENTS; WAIVERS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amended, modified, superseded or cancelled, and the terms or covenants waived,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authorized representatives of both of the parties hereto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waving party. The failure to require performance of any provision hereof shall in no manner affect the right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to enforce the same. No waiver of any term, whether by conduct or otherwise,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or continuing waiver of any such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breach of any other term contained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under this Agreement shall be in writing and shall be deemed effective when delivered in person (in the Company's case, to its Chief Financial Officer) or 48 hours after deposit thereof in the U.S. mails, postage prepaid, addressed, in the case of the Stockholder, to the Stockholder's address set forth at the end of this Agreement, and, in the case of the Company, to the corporate headquarters, attention of the Chief Financial Officer, or to such other address as the party to be notified may specify by written notice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EXECUTION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Paragraph headings are for convenience only and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terms and provisions of the Agreement. The parties acknowledge that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negotiations and that no inference should be drawn regarding the drafting of this document and this Agreement shall not be construed more strongly against either party regardless of which party is more responsible for its preparation. This Agreement may be executed by facsimile and in counterpart copies.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be transferable or assignable by operation of law or otherwise and is not intended to create any obligations to, or rights in respect of, any persons other than the parties hereto; provided, that Company may assign any of its rights and obligations hereunder to any of its affiliates or to any other entity which may acquire all or substantially all of the assets, shares or business of Company or any of its subsidiaries or any entity with or into which Company or any of its subsidiaries may be consolidated or merged.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Agreement shall be construed to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employment, partnership, joint venture or other relationship between the Company and the Stockholder.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 TERMINATION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upon the date, if any, of termination of the Purchase Agreement in accordance with its terms. Upon such termination, no party shall have any further obligations or liabilities hereunder; provided, however, such termination shall not relieve any party from liability for any breach of this Agreement prior to such termination.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caused this Agreement to be executed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Corp.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company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The Company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individual]</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Stockholder]</w:t>
      </w:r>
    </w:p>
    <w:p>
      <w:pPr>
        <w:keepNext w:val="0"/>
        <w:spacing w:before="120" w:after="0" w:line="260" w:lineRule="exact"/>
        <w:ind w:left="360" w:right="0" w:firstLine="0"/>
        <w:jc w:val="left"/>
      </w:pPr>
      <w:r>
        <w:rPr>
          <w:rFonts w:ascii="Times New Roman" w:hAnsi="Times New Roman" w:eastAsia="Times New Roman" w:cs="Times New Roman"/>
          <w:b w:val="0"/>
          <w:sz w:val="24"/>
        </w:rPr>
        <w:t>The Stockholder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