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may be forever barred from filing the same after that date. [The statute of limitations is specific to the claim we discussed. Additional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matters arise, please do not hesitate to contact our firm again.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