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NORTH DAKOTA </w:t>
      </w:r>
      <w:r>
        <w:rPr>
          <w:rFonts w:ascii="Times New Roman" w:hAnsi="Times New Roman" w:eastAsia="Times New Roman" w:cs="Times New Roman"/>
          <w:b/>
          <w:sz w:val="24"/>
        </w:rPr>
        <w:t>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r>
        <w:rPr>
          <w:rFonts w:ascii="Times New Roman" w:hAnsi="Times New Roman" w:eastAsia="Times New Roman" w:cs="Times New Roman"/>
          <w:b/>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North Dakota</w:t>
      </w:r>
      <w:r>
        <w:rPr>
          <w:rFonts w:ascii="Times New Roman" w:hAnsi="Times New Roman" w:eastAsia="Times New Roman" w:cs="Times New Roman"/>
          <w:sz w:val="24"/>
        </w:rPr>
        <w:t xml:space="preserve">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Payments of $_____________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 xml:space="preserve">This document shall be governed by the laws of the State of </w:t>
      </w:r>
      <w:r>
        <w:rPr>
          <w:rFonts w:ascii="Times New Roman" w:hAnsi="Times New Roman" w:eastAsia="Times New Roman" w:cs="Times New Roman"/>
          <w:sz w:val="24"/>
        </w:rPr>
        <w:t>North Dakota</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