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North Dakota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/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The property identified herein </w:t>
      </w:r>
      <w:r>
        <w:rPr>
          <w:rFonts w:ascii="Times New Roman" w:hAnsi="Times New Roman" w:eastAsia="Times New Roman" w:cs="Times New Roman"/>
          <w:sz w:val="24"/>
        </w:rPr>
        <w:t xml:space="preserve"> is </w:t>
      </w:r>
      <w:r>
        <w:rPr>
          <w:rFonts w:ascii="Times New Roman" w:hAnsi="Times New Roman" w:eastAsia="Times New Roman" w:cs="Times New Roman"/>
          <w:b/>
          <w:sz w:val="24"/>
        </w:rPr>
        <w:t>-OR-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is not registered as the homestead of the Grantor(s).</w:t>
      </w:r>
    </w:p>
    <w:p>
      <w:pPr/>
    </w:p>
    <w:p>
      <w:pPr/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Grantee Certification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 certify that the requirement for a report or statement of full consideration paid does not apply because this deed is for one of the transactions exempted by subdivision </w:t>
      </w:r>
      <w:r>
        <w:rPr>
          <w:rFonts w:ascii="Times New Roman" w:hAnsi="Times New Roman" w:eastAsia="Times New Roman" w:cs="Times New Roman"/>
          <w:b/>
          <w:sz w:val="24"/>
        </w:rPr>
        <w:t>H</w:t>
      </w:r>
      <w:r>
        <w:rPr>
          <w:rFonts w:ascii="Times New Roman" w:hAnsi="Times New Roman" w:eastAsia="Times New Roman" w:cs="Times New Roman"/>
          <w:sz w:val="24"/>
        </w:rPr>
        <w:t xml:space="preserve"> of </w:t>
      </w:r>
      <w:r>
        <w:rPr>
          <w:rFonts w:ascii="Times New Roman" w:hAnsi="Times New Roman" w:eastAsia="Times New Roman" w:cs="Times New Roman"/>
          <w:b/>
          <w:sz w:val="24"/>
        </w:rPr>
        <w:t>N.D.C.C 11-18-02.2(6)</w:t>
      </w:r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North Dakota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 legal description was prepared by _________________________________________ .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b/>
          <w:sz w:val="24"/>
        </w:rPr>
        <w:t>-OR-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 legal description was obtained from a previously recorded document.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