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Note Purchase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b/>
          <w:sz w:val="24"/>
        </w:rPr>
        <w:t>NOTE PURCHASE AGREEMENT</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This Note Purchase Agreement, dated as of [DATE OF AGREEMENT]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is entered into by and among [ISSUER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[ISSUER STATE OF INCORPORATION] corporation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and the persons and entities listed on the schedule of investors attached hereto as </w:t>
      </w:r>
      <w:r>
        <w:rPr>
          <w:rFonts w:ascii="Times New Roman" w:hAnsi="Times New Roman" w:eastAsia="Times New Roman" w:cs="Times New Roman"/>
          <w:b/>
          <w:sz w:val="24"/>
        </w:rPr>
        <w:t xml:space="preserve">Schedule </w:t>
      </w:r>
      <w:r>
        <w:rPr>
          <w:rFonts w:ascii="Times New Roman" w:hAnsi="Times New Roman" w:eastAsia="Times New Roman" w:cs="Times New Roman"/>
          <w:b/>
          <w:sz w:val="24"/>
        </w:rPr>
        <w:t>I.</w:t>
      </w:r>
      <w:r>
        <w:rPr>
          <w:rFonts w:ascii="Times New Roman" w:hAnsi="Times New Roman" w:eastAsia="Times New Roman" w:cs="Times New Roman"/>
          <w:b w:val="0"/>
          <w:sz w:val="24"/>
        </w:rPr>
        <w:t xml:space="preserve">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Investor</w:t>
      </w:r>
      <w:r>
        <w:rPr>
          <w:rFonts w:ascii="Times New Roman" w:hAnsi="Times New Roman" w:eastAsia="Times New Roman" w:cs="Times New Roman"/>
          <w:b w:val="0"/>
          <w:sz w:val="24"/>
        </w:rPr>
        <w:t>” and, collectively, the “</w:t>
      </w:r>
      <w:r>
        <w:rPr>
          <w:rFonts w:ascii="Times New Roman" w:hAnsi="Times New Roman" w:eastAsia="Times New Roman" w:cs="Times New Roman"/>
          <w:b/>
          <w:sz w:val="24"/>
        </w:rPr>
        <w:t>Investors</w:t>
      </w:r>
      <w:r>
        <w:rPr>
          <w:rFonts w:ascii="Times New Roman" w:hAnsi="Times New Roman" w:eastAsia="Times New Roman" w:cs="Times New Roman"/>
          <w:b w:val="0"/>
          <w:sz w:val="24"/>
        </w:rPr>
        <w:t xml:space="preserve">”), as such Schedule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may be amended in accordance with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hereof.</w:t>
      </w:r>
    </w:p>
    <w:p>
      <w:pPr>
        <w:keepNext w:val="0"/>
        <w:spacing w:before="120" w:after="0" w:line="260" w:lineRule="exact"/>
        <w:ind w:left="360" w:right="0" w:firstLine="0"/>
        <w:jc w:val="left"/>
      </w:pPr>
      <w:r>
        <w:rPr>
          <w:rFonts w:ascii="Times New Roman" w:hAnsi="Times New Roman" w:eastAsia="Times New Roman" w:cs="Times New Roman"/>
          <w:b/>
          <w:sz w:val="24"/>
        </w:rPr>
        <w:t>RECITALS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On the terms and subject to the conditions set forth herein, each Investor is willing to purchase from the Company, and the Company is willing to sell to such Investor,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convertible promissory note in the principal amount set forth opposite such Investor’s name on </w:t>
      </w:r>
      <w:r>
        <w:rPr>
          <w:rFonts w:ascii="Times New Roman" w:hAnsi="Times New Roman" w:eastAsia="Times New Roman" w:cs="Times New Roman"/>
          <w:b/>
          <w:sz w:val="24"/>
        </w:rPr>
        <w:t xml:space="preserve">Schedule </w:t>
      </w:r>
      <w:r>
        <w:rPr>
          <w:rFonts w:ascii="Times New Roman" w:hAnsi="Times New Roman" w:eastAsia="Times New Roman" w:cs="Times New Roman"/>
          <w:b/>
          <w:sz w:val="24"/>
        </w:rPr>
        <w:t>I.</w:t>
      </w:r>
      <w:r>
        <w:rPr>
          <w:rFonts w:ascii="Times New Roman" w:hAnsi="Times New Roman" w:eastAsia="Times New Roman" w:cs="Times New Roman"/>
          <w:b w:val="0"/>
          <w:sz w:val="24"/>
        </w:rPr>
        <w:t xml:space="preserve"> hereto.</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Capitalized terms not otherwise defined herein shall have the meaning set forth in the form of Note (as defined below) attached hereto as </w:t>
      </w: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NOW THEREFORE, in consideration of the foregoing, and the representations, warranties, and conditions set forth below, the parties hereto, intending to be legally bound, hereby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Notes.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Issuance of Notes.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Subject to all of the terms and conditions hereof, the Company agrees to issue and sell to each of the Investors, and each of the Investors severally agrees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convertible promissory note in the form of </w:t>
      </w: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 hereto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Note</w:t>
      </w:r>
      <w:r>
        <w:rPr>
          <w:rFonts w:ascii="Times New Roman" w:hAnsi="Times New Roman" w:eastAsia="Times New Roman" w:cs="Times New Roman"/>
          <w:b w:val="0"/>
          <w:sz w:val="24"/>
        </w:rPr>
        <w:t>” and, collectively, the “</w:t>
      </w:r>
      <w:r>
        <w:rPr>
          <w:rFonts w:ascii="Times New Roman" w:hAnsi="Times New Roman" w:eastAsia="Times New Roman" w:cs="Times New Roman"/>
          <w:b/>
          <w:sz w:val="24"/>
        </w:rPr>
        <w:t>Notes</w:t>
      </w:r>
      <w:r>
        <w:rPr>
          <w:rFonts w:ascii="Times New Roman" w:hAnsi="Times New Roman" w:eastAsia="Times New Roman" w:cs="Times New Roman"/>
          <w:b w:val="0"/>
          <w:sz w:val="24"/>
        </w:rPr>
        <w:t xml:space="preserve">”) in the principal amount set forth opposite the respective Investor’s name on </w:t>
      </w:r>
      <w:r>
        <w:rPr>
          <w:rFonts w:ascii="Times New Roman" w:hAnsi="Times New Roman" w:eastAsia="Times New Roman" w:cs="Times New Roman"/>
          <w:b/>
          <w:sz w:val="24"/>
        </w:rPr>
        <w:t xml:space="preserve">Schedule </w:t>
      </w:r>
      <w:r>
        <w:rPr>
          <w:rFonts w:ascii="Times New Roman" w:hAnsi="Times New Roman" w:eastAsia="Times New Roman" w:cs="Times New Roman"/>
          <w:b/>
          <w:sz w:val="24"/>
        </w:rPr>
        <w:t>I.</w:t>
      </w:r>
      <w:r>
        <w:rPr>
          <w:rFonts w:ascii="Times New Roman" w:hAnsi="Times New Roman" w:eastAsia="Times New Roman" w:cs="Times New Roman"/>
          <w:b w:val="0"/>
          <w:sz w:val="24"/>
        </w:rPr>
        <w:t xml:space="preserve"> hereto. The obligations of the Investors to purchase Notes are several and not joint. The aggregate principal amount for all Notes issued hereunder shall not exceed $[AMOUNT OF FINANCING].</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Delivery.</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sale and purchase of the Notes shall take place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closing (the “</w:t>
      </w:r>
      <w:r>
        <w:rPr>
          <w:rFonts w:ascii="Times New Roman" w:hAnsi="Times New Roman" w:eastAsia="Times New Roman" w:cs="Times New Roman"/>
          <w:b/>
          <w:sz w:val="24"/>
        </w:rPr>
        <w:t>Closing</w:t>
      </w:r>
      <w:r>
        <w:rPr>
          <w:rFonts w:ascii="Times New Roman" w:hAnsi="Times New Roman" w:eastAsia="Times New Roman" w:cs="Times New Roman"/>
          <w:b w:val="0"/>
          <w:sz w:val="24"/>
        </w:rPr>
        <w:t>”) to be held at such place and time as the Company and the Investors may determine (the “</w:t>
      </w:r>
      <w:r>
        <w:rPr>
          <w:rFonts w:ascii="Times New Roman" w:hAnsi="Times New Roman" w:eastAsia="Times New Roman" w:cs="Times New Roman"/>
          <w:b/>
          <w:sz w:val="24"/>
        </w:rPr>
        <w:t>Closing Date</w:t>
      </w:r>
      <w:r>
        <w:rPr>
          <w:rFonts w:ascii="Times New Roman" w:hAnsi="Times New Roman" w:eastAsia="Times New Roman" w:cs="Times New Roman"/>
          <w:b w:val="0"/>
          <w:sz w:val="24"/>
        </w:rPr>
        <w:t xml:space="preserve">”). At the Closing, the Company will deliver to each of the Investors the Note to be purchased by such Investor, against receipt by the Company of the note amount set forth on Schedule </w:t>
      </w:r>
      <w:r>
        <w:rPr>
          <w:rFonts w:ascii="Times New Roman" w:hAnsi="Times New Roman" w:eastAsia="Times New Roman" w:cs="Times New Roman"/>
          <w:b w:val="0"/>
          <w:sz w:val="24"/>
        </w:rPr>
        <w:t>I.</w:t>
      </w:r>
      <w:r>
        <w:rPr>
          <w:rFonts w:ascii="Times New Roman" w:hAnsi="Times New Roman" w:eastAsia="Times New Roman" w:cs="Times New Roman"/>
          <w:b w:val="0"/>
          <w:sz w:val="24"/>
        </w:rPr>
        <w:t>hereto (such amount, the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The Company may conduct one or more additional closings prior to [ADDITIONAL CLOSING DEADLINE]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Closing</w:t>
      </w:r>
      <w:r>
        <w:rPr>
          <w:rFonts w:ascii="Times New Roman" w:hAnsi="Times New Roman" w:eastAsia="Times New Roman" w:cs="Times New Roman"/>
          <w:b w:val="0"/>
          <w:sz w:val="24"/>
        </w:rPr>
        <w:t xml:space="preserve">”) to be held at such place and time as the Company and the Investors participating in such Additional Closing may determine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Closing Date”</w:t>
      </w:r>
      <w:r>
        <w:rPr>
          <w:rFonts w:ascii="Times New Roman" w:hAnsi="Times New Roman" w:eastAsia="Times New Roman" w:cs="Times New Roman"/>
          <w:b w:val="0"/>
          <w:sz w:val="24"/>
        </w:rPr>
        <w:t>). At each Additional Closing, the Company will deliver to each of the Investors participating in such Additional Closing the Note to be purchased by such Investor, against receipt by the Company of the corresponding Purchase Price. Each of the Notes will be registered in such Investor’s name in the Company’s records.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Use of Proceeds.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proceeds of the sale and issuance of the Notes shall be used for general corporate purposes.</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Payments.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will make all cash payments due under the Notes in immediately available funds by 1:00 p.m. [TIME ZONE] on the date such payment is due at the address for such purpose specified below each Investor’s name on </w:t>
      </w:r>
      <w:r>
        <w:rPr>
          <w:rFonts w:ascii="Times New Roman" w:hAnsi="Times New Roman" w:eastAsia="Times New Roman" w:cs="Times New Roman"/>
          <w:b/>
          <w:sz w:val="24"/>
        </w:rPr>
        <w:t>Schedule</w:t>
      </w:r>
      <w:r>
        <w:rPr>
          <w:rFonts w:ascii="Times New Roman" w:hAnsi="Times New Roman" w:eastAsia="Times New Roman" w:cs="Times New Roman"/>
          <w:b/>
          <w:sz w:val="24"/>
        </w:rPr>
        <w:t>I.</w:t>
      </w:r>
      <w:r>
        <w:rPr>
          <w:rFonts w:ascii="Times New Roman" w:hAnsi="Times New Roman" w:eastAsia="Times New Roman" w:cs="Times New Roman"/>
          <w:b w:val="0"/>
          <w:sz w:val="24"/>
        </w:rPr>
        <w:t xml:space="preserve"> hereto, or at such other address, or in such other manner,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or other registered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Note may from time to time direct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the Company.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Except as set forth on the Disclosure Schedule, attached as </w:t>
      </w:r>
      <w:r>
        <w:rPr>
          <w:rFonts w:ascii="Times New Roman" w:hAnsi="Times New Roman" w:eastAsia="Times New Roman" w:cs="Times New Roman"/>
          <w:b/>
          <w:sz w:val="24"/>
        </w:rPr>
        <w:t xml:space="preserve">Schedule </w:t>
      </w:r>
      <w:r>
        <w:rPr>
          <w:rFonts w:ascii="Times New Roman" w:hAnsi="Times New Roman" w:eastAsia="Times New Roman" w:cs="Times New Roman"/>
          <w:b/>
          <w:sz w:val="24"/>
        </w:rPr>
        <w:t>II.</w:t>
      </w:r>
      <w:r>
        <w:rPr>
          <w:rFonts w:ascii="Times New Roman" w:hAnsi="Times New Roman" w:eastAsia="Times New Roman" w:cs="Times New Roman"/>
          <w:b w:val="0"/>
          <w:sz w:val="24"/>
        </w:rPr>
        <w:t xml:space="preserve">, delivered to the Investor at the applicable Closing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Disclosure Schedule</w:t>
      </w:r>
      <w:r>
        <w:rPr>
          <w:rFonts w:ascii="Times New Roman" w:hAnsi="Times New Roman" w:eastAsia="Times New Roman" w:cs="Times New Roman"/>
          <w:b w:val="0"/>
          <w:sz w:val="24"/>
        </w:rPr>
        <w:t>”), the Company represents and warrants to each Investor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Due Incorporation, Qualification, etc.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(i)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State of [ISSUER’S STATE OF INCORPORATION]; (ii) has the power and authority to own, lease and operate its properties and carry on its business as now conducted; and (iii) is duly qualified, licensed to do business and in good standing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corporation in each jurisdiction where the failure to be so qualified or licensed could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Authority.</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execution, delivery and performance by the Company of each Transaction Document (as defined below) to be executed by the Company and the consummation of the transactions contemplated thereby (i) are within the power of the Company and (ii) have been duly authorized by all necessary actions on the part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Enforceability.</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Each Transaction Document executed, or to be executed, by the Company has been, or will be, duly executed and delivered by the Company and constitutes, or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obligation of the Company, enforceable against the Company in accordance with its terms, except as limited by bankruptcy, insolvency or other laws of general application relating to or affecting the enforcement of creditors’ rights generally and general principles of equity.</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Non-Contravention.</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execution and delivery by the Company of this Agreement and the Notes (collectively, the “</w:t>
      </w:r>
      <w:r>
        <w:rPr>
          <w:rFonts w:ascii="Times New Roman" w:hAnsi="Times New Roman" w:eastAsia="Times New Roman" w:cs="Times New Roman"/>
          <w:b/>
          <w:sz w:val="24"/>
        </w:rPr>
        <w:t>Transaction Documents</w:t>
      </w:r>
      <w:r>
        <w:rPr>
          <w:rFonts w:ascii="Times New Roman" w:hAnsi="Times New Roman" w:eastAsia="Times New Roman" w:cs="Times New Roman"/>
          <w:b w:val="0"/>
          <w:sz w:val="24"/>
        </w:rPr>
        <w:t xml:space="preserve">”) and the performance and consummation of the transactions contemplated thereby do not and will not (i) violate the Company’s Certificate of Incorporation, as amended to date, or Bylaws (as amended, the “Charter Documents”) or any material judgment, order, writ, decree, statute, rule or regulation applicable to the Company; (ii) violate any provision of, or result in the breach or the acceleration of, or entitle any other Person to accelerate (whether after the giving of notice or lapse of time or both), any material mortgage, indenture, agreement, instrument or contract to which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 is bound; or (iii) result in the creation or imposition of any Lien upon any property, asset or revenue of the Company or the suspension, revocation, impairment, forfeiture, or nonrenewal of any material permit, license, authorization or approval applicable to the Company, its business or operations, or any of its assets or properties.</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“Bad Actor” Disqualification.</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has exercised reasonable care, in accordance with Securities and Exchange Commission rules and guidance, to determine whether any Covered Person (as defined below) is subject to any of the “bad actor” disqualifications described in Rule 506(d)(1)(i) through (viii) (“</w:t>
      </w:r>
      <w:r>
        <w:rPr>
          <w:rFonts w:ascii="Times New Roman" w:hAnsi="Times New Roman" w:eastAsia="Times New Roman" w:cs="Times New Roman"/>
          <w:b/>
          <w:sz w:val="24"/>
        </w:rPr>
        <w:t>Disqualification Events</w:t>
      </w:r>
      <w:r>
        <w:rPr>
          <w:rFonts w:ascii="Times New Roman" w:hAnsi="Times New Roman" w:eastAsia="Times New Roman" w:cs="Times New Roman"/>
          <w:b w:val="0"/>
          <w:sz w:val="24"/>
        </w:rPr>
        <w:t>”) under the Securities Act of 1933, as amended (the “</w:t>
      </w:r>
      <w:r>
        <w:rPr>
          <w:rFonts w:ascii="Times New Roman" w:hAnsi="Times New Roman" w:eastAsia="Times New Roman" w:cs="Times New Roman"/>
          <w:b/>
          <w:sz w:val="24"/>
        </w:rPr>
        <w:t>Securities Act</w:t>
      </w:r>
      <w:r>
        <w:rPr>
          <w:rFonts w:ascii="Times New Roman" w:hAnsi="Times New Roman" w:eastAsia="Times New Roman" w:cs="Times New Roman"/>
          <w:b w:val="0"/>
          <w:sz w:val="24"/>
        </w:rPr>
        <w:t xml:space="preserve">”). To the Company’s knowledge, no Covered Person is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Disqualification Event, except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Disqualification Event covered by Rule 506(d)(2) or (d)(3) under the Securities Act. The Company has complied, to the extent applicable, with any disclosure obligations under Rule 506(e) under the Securities Act. “</w:t>
      </w:r>
      <w:r>
        <w:rPr>
          <w:rFonts w:ascii="Times New Roman" w:hAnsi="Times New Roman" w:eastAsia="Times New Roman" w:cs="Times New Roman"/>
          <w:b/>
          <w:sz w:val="24"/>
        </w:rPr>
        <w:t>Covered Persons</w:t>
      </w:r>
      <w:r>
        <w:rPr>
          <w:rFonts w:ascii="Times New Roman" w:hAnsi="Times New Roman" w:eastAsia="Times New Roman" w:cs="Times New Roman"/>
          <w:b w:val="0"/>
          <w:sz w:val="24"/>
        </w:rPr>
        <w:t>” are those persons specified in Rule 506(d)(1) under the Securities Act, including the Company; any predecessor or affiliate of the Company; any director, executive officer, other officer participating in the offering, general partner or managing member of the Company; any beneficial owner of 20% or more of the Company’s outstanding voting equity securities, calculated on the basis of voting power; any promoter (as defined in Rule 405 under the Securities Act) connected with the Company in any capacity at the time of the sale of the Notes; and any person that has been or will be paid (directly or indirectly) remuneration for solicitation of purchasers in connection with the sale of the Notes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Solicitor</w:t>
      </w:r>
      <w:r>
        <w:rPr>
          <w:rFonts w:ascii="Times New Roman" w:hAnsi="Times New Roman" w:eastAsia="Times New Roman" w:cs="Times New Roman"/>
          <w:b w:val="0"/>
          <w:sz w:val="24"/>
        </w:rPr>
        <w:t>”), any general partner or managing member of any Solicitor, and any director, executive officer or other officer participating in the offering of any Solicitor or general partner or managing member of any Solicitor.</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Investors.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Investor, for that Investor alone, represents and warrants to the Company upon the acquisition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Note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Binding Obligation.</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Such Investor has full legal capacity, power and authority to execute and deliver this Agreement and to perform its obligations hereunder. This Agreement and the Transaction Documents constitute valid and binding obligations of such Investor, enforceable in accordance with their terms, except as limited by bankruptcy, insolvency or other laws of general application relating to or affecting the enforcement of creditors’ rights generally and general principles of equity.</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Securities Law Compliance.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Such Investor has been advised that the Notes and the underlying securities have not been registered under the Securities Act, or any state securities laws and, therefore, cannot be resold unless they are registered under the Securities Act and applicable state securities laws or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from such registration requirements is available. Such Investor is aware that the Company is under no obligation to effect any such registration with respect to the Notes or the underlying securities or to file for or comply with any exemption from registration. Such Investor has not been formed solely for the purpose of making this investment and is purchasing the Notes to be acquired by such Investor hereunder for its own account for investment, not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nominee or agent,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resale in connection with, the distribution thereof, and Investor has no present intention of selling, granting any participation in, or otherwise distributing the same. Such Investor has such knowledge and experience in financial and business matters that such Investor is capable of evaluating the merits and risks of such investment, is able to incur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loss of such investment without impairing such Investor’s financial condition and is able to bear the economic risk of such investment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indefinite period of time. Such Investor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investor as such term is defined in Rule 501 of Regulation D under the Securities Act and shall submit to the Company such further assurances of such status as may be reasonably requested by the Company. Such Investor has furnished or made available any and all information requested by the Company or otherwise necessary to satisfy any applicable verification requirements as to accredited investor status. Any such information is true, correct, timely and complete. The residency of the Investor (or,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 corporation, such entity’s principal place of business) is correctly set forth beneath such Investor’s name on </w:t>
      </w:r>
      <w:r>
        <w:rPr>
          <w:rFonts w:ascii="Times New Roman" w:hAnsi="Times New Roman" w:eastAsia="Times New Roman" w:cs="Times New Roman"/>
          <w:b/>
          <w:sz w:val="24"/>
        </w:rPr>
        <w:t>Schedule</w:t>
      </w:r>
      <w:r>
        <w:rPr>
          <w:rFonts w:ascii="Times New Roman" w:hAnsi="Times New Roman" w:eastAsia="Times New Roman" w:cs="Times New Roman"/>
          <w:b/>
          <w:sz w:val="24"/>
        </w:rPr>
        <w:t>I.</w:t>
      </w:r>
      <w:r>
        <w:rPr>
          <w:rFonts w:ascii="Times New Roman" w:hAnsi="Times New Roman" w:eastAsia="Times New Roman" w:cs="Times New Roman"/>
          <w:b w:val="0"/>
          <w:sz w:val="24"/>
        </w:rPr>
        <w:t xml:space="preserve"> hereto.</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Access to Information.</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Such Investor acknowledges that the Company has given such Investor access to the corporate records and accounts of the Company and to all information in its possession relating to the Company, has made its officers and representatives available for interview by such Investor, and has furnished such Investor with all documents and other information required for such Investor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informed decision with respect to the purchase of the Notes.</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Tax Advisors.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Such Investor has reviewed with its own tax advisors the U.S. federal, state and local and non-U.S. tax consequences of this investment and the transactions contemplated by this Agreement. With respect to such matters, such Investor relies solely on any such advisors and not on any statements or representations of the Company or any of its agents, written or oral. Such Investor understands that it (and not the Company) shall be responsible for its own tax liability that may arise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this investment and the transactions contemplated by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“Bad Actor” Disqualification Events.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Neither (i) such Investor, (ii) any of its directors, executive officers, general partners or managing members, nor (iii) any beneficial owner of any of the Company’s voting equity securities (in accordance with Rule 506(d) of the Securities Act) held by such Investor if such beneficial owner is deemed to own 20% or more of the Company’s outstanding voting securities (calculated on the basis of voting power) is subject to any Disqualification Event (as defined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(e)</w:t>
      </w:r>
      <w:r>
        <w:rPr>
          <w:rFonts w:ascii="Times New Roman" w:hAnsi="Times New Roman" w:eastAsia="Times New Roman" w:cs="Times New Roman"/>
          <w:b w:val="0"/>
          <w:sz w:val="24"/>
        </w:rPr>
        <w:t>), except for Disqualification Events covered by Rule 506(d)(2)(ii) or (iii) or (d)(3) under the Securities Act and disclosed reasonably in advance of the Closing in writing in reasonable detail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to Closing of the Investors.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Investor’s obligations at the Closing are subject to the fulfillment, on or prior to the Closing Date, of all of the following conditions, any of which may be waived in whole or in part by all of the Investors: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Representations and Warranties.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representations and warranties made by the Company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hereof shall have been true and correct when made, and shall be true and correct on the Closing Date.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Governmental Approvals and Filings.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Except for any notices required or permitted to be filed after the Closing Date with certain federal and state securities commissions, the Company shall have obtained all governmental approvals required in connection with the lawful sale and issuance of the Notes.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Legal Requirements.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At the Closing, the sale and issuance by the Company, and the purchase by the Investors, of the Notes shall be legally permitted by all laws and regulations to which the Investors or the Company are subject.</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Proceedings and Documents.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corporate and other proceedings in connection with the transactions contemplated at the Closing and all documents and instruments incident to such transactions shall be reasonably satisfactory in substance and form to the Investors.</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Transaction Documents.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shall have duly executed and delivered to the Investors the following documents: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This Agreement; and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Each Note issued hereunder.</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to Additional Closings of the Investors.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obligations of any Investor participating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Closing are subject to the fulfillment, on or prior to the applicable Additional Closing Date, of all of the following conditions, any of which may be waived in whole or in part by all of the Investors participating in such Additional Closing:</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Representations and Warranties.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Subject to the Disclosure Schedule, including any update thereto delivered to the Investor prior to or at the time the Investor executes this Agreement, the representations and warranties made by the Company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hereof shall be true and correct in all material respects on the applicable Additional Closing Date.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Governmental Approvals and Filings.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Except for any notices required or permitted to be filed after the Additional Closing Date with certain federal and state securities commissions, the Company shall have obtained all governmental approvals required in connection with the lawful sale and issuance of the Notes at such Additional Closing.</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Legal Requirements.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At the Additional Closing, the sale and issuance by the Company, and the purchase by the Investors participating in such Additional Closing, of the Notes shall be legally permitted by all laws and regulations to which such Investors or the Company are subject.</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Transaction Documents.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shall have duly executed and delivered to the Investors participating in such Additional Closing each Note to be issued at such Additional Closing.</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to Obligations of the Company.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Company’s obligation to issue and sell the Notes at the Closing and at each Additional Closing is subject to the fulfillment, on or prior to the Closing Date or the applicable Additional Closing Date, of the following conditions, any of which may be waived in whole or in part by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Representations and Warranties.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representations and warranties made by the applicable Investors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hereof shall be true and correct when made, and shall be true and correct on the Closing Date and the applicable Additional Closing Date.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Governmental Approvals and Filings.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Except for any notices required or permitted to be filed after the Closing Date or the applicable Additional Closing Date with certain federal and state securities commissions, the Company shall have obtained all governmental approvals required in connection with the lawful sale and issuance of the Notes.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Legal Requirements.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At the Closing and at each Additional Closing, the sale and issuance by the Company, and the purchase by the applicable Investors, of the Notes shall be legally permitted by all laws and regulations to which such Investors or the Company are subject.</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Purchase Price.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Each Investor shall have delivered to the Company the Purchase Price in respect of the Note being purchased by such Investor referenced in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Waivers and Amendments.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provision of this Agreement and the Notes may be amended, waived or modified only upon the written consent of the Company and of the Required Investors;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no such amendment, waiver or consent shall: (i) reduce the principal amount of any Note without the affected Investor’s written consent, or (ii) reduce the rate of interest of any Note without the affected Investor’s written consent. Any amendment or waiver effected in accordance with this paragraph shall be binding upon all of the parties hereto. Notwithstanding the foregoing, this Agreement may be amended to add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hereunder in connection with Additional Closings without the consent of any other Investor, by delivery to the Company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counterparty signature page to this Agreement,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supplement to </w:t>
      </w:r>
      <w:r>
        <w:rPr>
          <w:rFonts w:ascii="Times New Roman" w:hAnsi="Times New Roman" w:eastAsia="Times New Roman" w:cs="Times New Roman"/>
          <w:b/>
          <w:sz w:val="24"/>
        </w:rPr>
        <w:t xml:space="preserve">Schedule </w:t>
      </w:r>
      <w:r>
        <w:rPr>
          <w:rFonts w:ascii="Times New Roman" w:hAnsi="Times New Roman" w:eastAsia="Times New Roman" w:cs="Times New Roman"/>
          <w:b/>
          <w:sz w:val="24"/>
        </w:rPr>
        <w:t>I.</w:t>
      </w:r>
      <w:r>
        <w:rPr>
          <w:rFonts w:ascii="Times New Roman" w:hAnsi="Times New Roman" w:eastAsia="Times New Roman" w:cs="Times New Roman"/>
          <w:b w:val="0"/>
          <w:sz w:val="24"/>
        </w:rPr>
        <w:t xml:space="preserve"> and </w:t>
      </w:r>
      <w:r>
        <w:rPr>
          <w:rFonts w:ascii="Times New Roman" w:hAnsi="Times New Roman" w:eastAsia="Times New Roman" w:cs="Times New Roman"/>
          <w:b/>
          <w:sz w:val="24"/>
        </w:rPr>
        <w:t xml:space="preserve">Schedule </w:t>
      </w:r>
      <w:r>
        <w:rPr>
          <w:rFonts w:ascii="Times New Roman" w:hAnsi="Times New Roman" w:eastAsia="Times New Roman" w:cs="Times New Roman"/>
          <w:b/>
          <w:sz w:val="24"/>
        </w:rPr>
        <w:t>II.</w:t>
      </w:r>
      <w:r>
        <w:rPr>
          <w:rFonts w:ascii="Times New Roman" w:hAnsi="Times New Roman" w:eastAsia="Times New Roman" w:cs="Times New Roman"/>
          <w:b w:val="0"/>
          <w:sz w:val="24"/>
        </w:rPr>
        <w:t xml:space="preserve"> hereto. Such amendment shall take effect at the Additional Closing and such party shall thereafter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for all purposes hereunder and </w:t>
      </w:r>
      <w:r>
        <w:rPr>
          <w:rFonts w:ascii="Times New Roman" w:hAnsi="Times New Roman" w:eastAsia="Times New Roman" w:cs="Times New Roman"/>
          <w:b/>
          <w:sz w:val="24"/>
        </w:rPr>
        <w:t xml:space="preserve">Schedule </w:t>
      </w:r>
      <w:r>
        <w:rPr>
          <w:rFonts w:ascii="Times New Roman" w:hAnsi="Times New Roman" w:eastAsia="Times New Roman" w:cs="Times New Roman"/>
          <w:b/>
          <w:sz w:val="24"/>
        </w:rPr>
        <w:t>I.</w:t>
      </w:r>
      <w:r>
        <w:rPr>
          <w:rFonts w:ascii="Times New Roman" w:hAnsi="Times New Roman" w:eastAsia="Times New Roman" w:cs="Times New Roman"/>
          <w:b w:val="0"/>
          <w:sz w:val="24"/>
        </w:rPr>
        <w:t xml:space="preserve"> and </w:t>
      </w:r>
      <w:r>
        <w:rPr>
          <w:rFonts w:ascii="Times New Roman" w:hAnsi="Times New Roman" w:eastAsia="Times New Roman" w:cs="Times New Roman"/>
          <w:b/>
          <w:sz w:val="24"/>
        </w:rPr>
        <w:t xml:space="preserve">Schedule </w:t>
      </w:r>
      <w:r>
        <w:rPr>
          <w:rFonts w:ascii="Times New Roman" w:hAnsi="Times New Roman" w:eastAsia="Times New Roman" w:cs="Times New Roman"/>
          <w:b/>
          <w:sz w:val="24"/>
        </w:rPr>
        <w:t>II.</w:t>
      </w:r>
      <w:r>
        <w:rPr>
          <w:rFonts w:ascii="Times New Roman" w:hAnsi="Times New Roman" w:eastAsia="Times New Roman" w:cs="Times New Roman"/>
          <w:b w:val="0"/>
          <w:sz w:val="24"/>
        </w:rPr>
        <w:t xml:space="preserve"> hereto shall be updated to reflect the addition of such Investor.</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Governing Law.</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This Agreement and all actions arising out of or in connection with this Agreement shall be governed by and construed in accordance with the laws of the State of [APPLICABLE GOVERNING STATE LAW], without regard to the conflicts of law provisions of the State of [APPLICABLE GOVERNING STATE LAW] or of any other state.</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Survival.</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representations, warranties, covenants and agreements made herein shall survive the execution and delivery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Successors and Assigns.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Subject to the restrictions on transfer described in Sections </w:t>
      </w:r>
      <w:r>
        <w:rPr>
          <w:rFonts w:ascii="Times New Roman" w:hAnsi="Times New Roman" w:eastAsia="Times New Roman" w:cs="Times New Roman"/>
          <w:b w:val="0"/>
          <w:sz w:val="24"/>
        </w:rPr>
        <w:t>7.</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7.</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below, the rights and obligations of the Company and the Investors shall be binding upon and benefit the successors, assigns, heirs, administrators and transferees of 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Registration, Transfer and Replacement of the Notes.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will keep, at its principal executive office, books for the registration of the Investors and registration of transfer of the Notes. Prior to presentation of any Note for registration of transfer, the Company shall treat the Person in whose name such Note is registered as the owner and holder of such Note for all purposes whatsoever, whether or not such Note shall be overdue, and the Company shall not be affected by notice to the contrary. Subject to any restrictions on or conditions to transfer set forth in any Note, the holder of any Note, at its option, may in person or by duly authorized attorney surrender the same for exchange at the Company’s chief executive office, and promptly thereafter and at the Company’s expense, except as provided below, receive in exchange therefor one or more new Note(s), each in the principal requested by such holder, dated the date to which interest shall have been paid on the Note so surrendered or, if no interest shall have yet been so paid, dated the date of the Note so surrendered and registered in the name of such Person or Persons as shall have been designated in writing by such holder or its attorney for the same principal amount as the then unpaid principal amount of the Note so surrendered. Upon receipt by the Company of evidence reasonably satisfactory to it of the ownership of and the loss, theft, destruction or mutilation of any Note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 the case of loss, theft or destruction, of indemnity reasonably satisfactory to it; or (b) in the case of mutilation, upon surrender thereof, the Company, at its expense, will execute and deliver in lieu thereof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Note executed in the same manner as the Note being replaced, in the same principal amount as the unpaid principal amount of such Note and dated the date to which interest shall have been paid on such Note or, if no interest shall have yet been so paid, dated the date of such Note.</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Assignment by the Company.</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rights, interests or obligations hereunder may not be assigned, by operation of law or otherwise, in whole or in part, by the Company without the prior written consent of the Required Investors.</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Entire Agreement.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This Agreement together with the other Transaction Documents constitute and contain the entire agreement among the Company and Investors and supersede any and all prior agreements, negotiations, correspondence, understandings and communications among the parties, whether written or oral, respecting the subject matter hereof.</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Notices.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notices, requests, demands, consents, instructions or other communications required or permitted hereunder shall in writing and faxed, mailed, emailed or delivered to each party as follows: (i) if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at such Investor’s address, facsimile number or electronic mail address set forth in the Schedule of Investors attached as Schedule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or at such other address, facsimile number or electronic mail address as such Investor shall have furnished the Company in writing, or (ii) if to the Company, at [ISSUER’S ADDRESS, FACSIMILE NUMBER,AND EMAIL ADDRESS FOR NOTICES], or at such other address, facsimile number or electronic mail address as the Company shall have furnished to the Investors in writing. All such notices and communications will be deemed effective on the earlier of (i) when received, (ii) when delivered personally, (iii) one business day after being deposited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overnight courier service of recognized standing, (iv) four days after being deposited in the U.S. mail, first class with postage prepaid, (v) if sent via facsimile, upon confirmation of facsimile transfer or (vi) if sent via electronic mail, when directed to the relevant electronic mail address, if sent during normal business hours of the recipient, or if not sent during normal business hours of the recipient, then on the recipient’s next business day.</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Expenses.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and the Investors shall each pay their own expenses in connection with the preparation, execution and delivery of this Agreement and the Notes;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that any Investor that fails to comply with its obligations under Section 5(e) of such Investor’s Note shall reimburse the Company for any legal fees and other expenses incurred in connection with the enforcement thereof.</w:t>
      </w:r>
    </w:p>
    <w:p>
      <w:pPr>
        <w:keepNext w:val="0"/>
        <w:spacing w:before="120" w:after="0" w:line="260" w:lineRule="exact"/>
        <w:ind w:left="144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Separability of Agreements; Severability of this Agreement.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Company’s agreement with each of the Investors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agreement and the sale of the Notes to each of the Investors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sale. Unless otherwise expressly provided herein, the rights of each Investor hereunder are several rights, not rights jointly held with any of the other Investors. Any invalidity, illegality or limitation on the enforceability of the Agreement or any part thereof, by any Investor whether arising by reason of the law of the respective Investor’s domicile or otherwise, shall in no way affect or impair the validity, legality or enforceability of this Agreement with respect to other Investors. If any provision of this Agreement shall be judicially determined to be invalid, illegal or unenforceable, the validity, legality and enforceability of the remaining provisions shall not in any way be affected or impaired thereby.</w:t>
      </w:r>
    </w:p>
    <w:p>
      <w:pPr>
        <w:keepNext w:val="0"/>
        <w:spacing w:before="120" w:after="0" w:line="260" w:lineRule="exact"/>
        <w:ind w:left="144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Counterparts.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This Agreement may be executed in one or more counterparts, each of which will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agreement. Facsimile copies of signed signature pages will be deemed binding originals.</w:t>
      </w:r>
    </w:p>
    <w:p>
      <w:pPr>
        <w:keepNext w:val="0"/>
        <w:spacing w:before="200" w:after="0" w:line="260" w:lineRule="exact"/>
        <w:ind w:left="360" w:right="0" w:firstLine="0"/>
        <w:jc w:val="center"/>
      </w:pPr>
      <w:r>
        <w:rPr>
          <w:rFonts w:ascii="Times New Roman" w:hAnsi="Times New Roman" w:eastAsia="Times New Roman" w:cs="Times New Roman"/>
          <w:b w:val="0"/>
          <w:sz w:val="24"/>
        </w:rPr>
        <w:t>(Signature Page Follows)</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The parties have caused this Agreement to be duly executed and delivered by their proper and duly authorized officers as of the date and year first written above.</w:t>
      </w:r>
    </w:p>
    <w:p>
      <w:pPr>
        <w:keepNext w:val="0"/>
        <w:spacing w:before="120" w:after="0" w:line="260" w:lineRule="exact"/>
        <w:ind w:left="360" w:right="0" w:firstLine="0"/>
        <w:jc w:val="left"/>
      </w:pPr>
      <w:r>
        <w:rPr>
          <w:rFonts w:ascii="Times New Roman" w:hAnsi="Times New Roman" w:eastAsia="Times New Roman" w:cs="Times New Roman"/>
          <w:b/>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[ISSUER’S NAME]</w:t>
      </w:r>
      <w:r>
        <w:rPr>
          <w:rFonts w:ascii="Times New Roman" w:hAnsi="Times New Roman" w:eastAsia="Times New Roman" w:cs="Times New Roman"/>
          <w:sz w:val="24"/>
        </w:rPr>
        <w:br/>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[ISSUER’S STATE OF INCORPORATION]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The parties have caused this Agreement to be duly executed and delivered by their proper and duly authorized officers as of the date and year first written above.</w:t>
      </w:r>
    </w:p>
    <w:p>
      <w:pPr>
        <w:keepNext w:val="0"/>
        <w:spacing w:before="120" w:after="0" w:line="260" w:lineRule="exact"/>
        <w:ind w:left="360" w:right="0" w:firstLine="0"/>
        <w:jc w:val="left"/>
      </w:pPr>
      <w:r>
        <w:rPr>
          <w:rFonts w:ascii="Times New Roman" w:hAnsi="Times New Roman" w:eastAsia="Times New Roman" w:cs="Times New Roman"/>
          <w:b/>
          <w:sz w:val="24"/>
        </w:rPr>
        <w:t>INVESTOR:</w:t>
      </w:r>
    </w:p>
    <w:p>
      <w:pPr>
        <w:keepNext w:val="0"/>
        <w:spacing w:before="120" w:after="0" w:line="260" w:lineRule="exact"/>
        <w:ind w:left="360" w:right="0" w:firstLine="0"/>
        <w:jc w:val="left"/>
      </w:pPr>
      <w:r>
        <w:rPr>
          <w:rFonts w:ascii="Times New Roman" w:hAnsi="Times New Roman" w:eastAsia="Times New Roman" w:cs="Times New Roman"/>
          <w:b w:val="0"/>
          <w:sz w:val="24"/>
        </w:rPr>
        <w:t>[INVESTOR’S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Schedule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SCHEDULE OF INVESTORS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center"/>
      </w:pPr>
      <w:r>
        <w:rPr>
          <w:rFonts w:ascii="Times New Roman" w:hAnsi="Times New Roman" w:eastAsia="Times New Roman" w:cs="Times New Roman"/>
          <w:b w:val="0"/>
          <w:sz w:val="24"/>
        </w:rPr>
        <w:t>Initial Closing: [__________]</w:t>
      </w:r>
    </w:p>
    <w:p>
      <w:pPr>
        <w:keepNext w:val="0"/>
        <w:spacing w:before="120" w:after="0" w:line="260" w:lineRule="exact"/>
        <w:ind w:left="360" w:right="0" w:firstLine="0"/>
        <w:jc w:val="left"/>
      </w:pPr>
      <w:r>
        <w:rPr>
          <w:rFonts w:ascii="Times New Roman" w:hAnsi="Times New Roman" w:eastAsia="Times New Roman" w:cs="Times New Roman"/>
          <w:b w:val="0"/>
          <w:sz w:val="24"/>
        </w:rPr>
        <w:t>Schedule II.</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sz w:val="24"/>
        </w:rPr>
        <w:t>DISCLOSURE SCHEDULE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sz w:val="24"/>
        </w:rPr>
        <w:t>FORM OF NOTE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