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Assumption and Assignment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sz w:val="24"/>
        </w:rPr>
        <w:t>Hearing Date:</w:t>
      </w:r>
      <w:r>
        <w:rPr>
          <w:rFonts w:ascii="Times New Roman" w:hAnsi="Times New Roman" w:eastAsia="Times New Roman" w:cs="Times New Roman"/>
          <w:b w:val="0"/>
          <w:sz w:val="24"/>
        </w:rPr>
        <w:t xml:space="preserve"> [Month] [Day], [Year] </w:t>
      </w:r>
      <w:r>
        <w:rPr>
          <w:rFonts w:ascii="Times New Roman" w:hAnsi="Times New Roman" w:eastAsia="Times New Roman" w:cs="Times New Roman"/>
          <w:b/>
          <w:sz w:val="24"/>
        </w:rPr>
        <w:t>at</w:t>
      </w:r>
      <w:r>
        <w:rPr>
          <w:rFonts w:ascii="Times New Roman" w:hAnsi="Times New Roman" w:eastAsia="Times New Roman" w:cs="Times New Roman"/>
          <w:b w:val="0"/>
          <w:sz w:val="24"/>
        </w:rPr>
        <w:t xml:space="preserve"> [Time]</w:t>
      </w:r>
      <w:r>
        <w:rPr>
          <w:rFonts w:ascii="Times New Roman" w:hAnsi="Times New Roman" w:eastAsia="Times New Roman" w:cs="Times New Roman"/>
          <w:sz w:val="24"/>
        </w:rPr>
        <w:br/>
      </w:r>
      <w:r>
        <w:rPr>
          <w:rFonts w:ascii="Times New Roman" w:hAnsi="Times New Roman" w:eastAsia="Times New Roman" w:cs="Times New Roman"/>
          <w:b/>
          <w:sz w:val="24"/>
        </w:rPr>
        <w:t>Objection Deadline:</w:t>
      </w:r>
      <w:r>
        <w:rPr>
          <w:rFonts w:ascii="Times New Roman" w:hAnsi="Times New Roman" w:eastAsia="Times New Roman" w:cs="Times New Roman"/>
          <w:b w:val="0"/>
          <w:sz w:val="24"/>
        </w:rPr>
        <w:t xml:space="preserve"> [Month] [Day], [Year] </w:t>
      </w:r>
      <w:r>
        <w:rPr>
          <w:rFonts w:ascii="Times New Roman" w:hAnsi="Times New Roman" w:eastAsia="Times New Roman" w:cs="Times New Roman"/>
          <w:b/>
          <w:sz w:val="24"/>
        </w:rPr>
        <w:t>at</w:t>
      </w:r>
      <w:r>
        <w:rPr>
          <w:rFonts w:ascii="Times New Roman" w:hAnsi="Times New Roman" w:eastAsia="Times New Roman" w:cs="Times New Roman"/>
          <w:b w:val="0"/>
          <w:sz w:val="24"/>
        </w:rPr>
        <w:t xml:space="preserve"> [Time]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the Debtors and Debtors in Possession</w:t>
      </w:r>
    </w:p>
    <w:p>
      <w:pPr>
        <w:keepNext w:val="0"/>
        <w:spacing w:before="200" w:after="0" w:line="260" w:lineRule="exact"/>
        <w:ind w:left="360" w:right="0" w:firstLine="0"/>
        <w:jc w:val="both"/>
      </w:pPr>
      <w:r>
        <w:rPr>
          <w:rFonts w:ascii="Times New Roman" w:hAnsi="Times New Roman" w:eastAsia="Times New Roman" w:cs="Times New Roman"/>
          <w:b w:val="0"/>
          <w:sz w:val="24"/>
        </w:rPr>
        <w:t>UNITED STATES BANKRUPTCY COURT</w:t>
      </w:r>
    </w:p>
    <w:p>
      <w:pPr>
        <w:keepNext w:val="0"/>
        <w:spacing w:before="60" w:after="0" w:line="260" w:lineRule="exact"/>
        <w:ind w:left="360" w:right="0" w:firstLine="0"/>
        <w:jc w:val="both"/>
      </w:pPr>
      <w:r>
        <w:rPr>
          <w:rFonts w:ascii="Times New Roman" w:hAnsi="Times New Roman" w:eastAsia="Times New Roman" w:cs="Times New Roman"/>
          <w:b w:val="0"/>
          <w:sz w:val="24"/>
        </w:rPr>
        <w:t>FOR THE SOUTHERN DISTRICT OF NEW YORK</w:t>
      </w:r>
    </w:p>
    <w:p>
      <w:pPr>
        <w:keepNext w:val="0"/>
        <w:spacing w:before="120" w:after="0" w:line="260" w:lineRule="exact"/>
        <w:ind w:left="360" w:right="0" w:firstLine="0"/>
        <w:jc w:val="left"/>
      </w:pPr>
      <w:r>
        <w:rPr>
          <w:rFonts w:ascii="Times New Roman" w:hAnsi="Times New Roman" w:eastAsia="Times New Roman" w:cs="Times New Roman"/>
          <w:b/>
          <w:sz w:val="24"/>
        </w:rPr>
        <w:t>NOTICE OF (I) REQUEST FOR AUTHORITY</w:t>
      </w:r>
      <w:r>
        <w:rPr>
          <w:rFonts w:ascii="Times New Roman" w:hAnsi="Times New Roman" w:eastAsia="Times New Roman" w:cs="Times New Roman"/>
          <w:sz w:val="24"/>
        </w:rPr>
        <w:br/>
      </w:r>
      <w:r>
        <w:rPr>
          <w:rFonts w:ascii="Times New Roman" w:hAnsi="Times New Roman" w:eastAsia="Times New Roman" w:cs="Times New Roman"/>
          <w:b/>
          <w:sz w:val="24"/>
        </w:rPr>
        <w:t>TO ASSUME AND ASSIGN CERTAIN EXECUTORY CONTRACTS</w:t>
      </w:r>
      <w:r>
        <w:rPr>
          <w:rFonts w:ascii="Times New Roman" w:hAnsi="Times New Roman" w:eastAsia="Times New Roman" w:cs="Times New Roman"/>
          <w:sz w:val="24"/>
        </w:rPr>
        <w:br/>
      </w:r>
      <w:r>
        <w:rPr>
          <w:rFonts w:ascii="Times New Roman" w:hAnsi="Times New Roman" w:eastAsia="Times New Roman" w:cs="Times New Roman"/>
          <w:b/>
          <w:sz w:val="24"/>
        </w:rPr>
        <w:t>AND UNEXPIRED LEASES, AND (II) PROPOSED CURE AMOUNTS</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[Month] [Day], [Year],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(individually, or collectively, the “</w:t>
      </w:r>
      <w:r>
        <w:rPr>
          <w:rFonts w:ascii="Times New Roman" w:hAnsi="Times New Roman" w:eastAsia="Times New Roman" w:cs="Times New Roman"/>
          <w:b w:val="0"/>
          <w:sz w:val="24"/>
        </w:rPr>
        <w:t>Agreements</w:t>
      </w:r>
      <w:r>
        <w:rPr>
          <w:rFonts w:ascii="Times New Roman" w:hAnsi="Times New Roman" w:eastAsia="Times New Roman" w:cs="Times New Roman"/>
          <w:b w:val="0"/>
          <w:sz w:val="24"/>
        </w:rPr>
        <w:t>”),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[Month] [Day], [Year], the United States Bankruptcy Court for the District of [district]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procedures for the assumption and assignment of the Agreements.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on [Month] [Day], [Year], at [location],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Upon conclusion of the Auction, the Debtors will select the highest and best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second highest and best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to the Successful Bidder or the Backup Bidder before the Honorable [Judge name], United States Bankruptcy Judge for the [district location], at [court address], on [Month] [Day], [Year],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you are receiving this notice (the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xml:space="preserve">”) because you or one of your affiliates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to one or more Agreements with one or more of the Debtors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Agreements Schedule</w:t>
      </w:r>
      <w:r>
        <w:rPr>
          <w:rFonts w:ascii="Times New Roman" w:hAnsi="Times New Roman" w:eastAsia="Times New Roman" w:cs="Times New Roman"/>
          <w:b w:val="0"/>
          <w:sz w:val="24"/>
        </w:rPr>
        <w:t xml:space="preserve">”). If the Court enters the Sale Order, the Debtors may seek to assume and assign to the Successful Bidder (or the Backup Bidder) any Agreement(s) listed on the Agreements Schedule to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upon closing of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cure amounts (if any), asserted by the Debtors, that are necessary to cure any default, and to pay all actual or pecuniary losses that have resulted from such defaults, under the relevant Agreement(s), pursuant to Section 365 of the Bankruptcy Code, are also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Cure Amounts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objections to the proposed assumption and assignment of any Agreement listed on the Agreements Schedule or the Cure Amounts under such Agreement (collectively, the “</w:t>
      </w:r>
      <w:r>
        <w:rPr>
          <w:rFonts w:ascii="Times New Roman" w:hAnsi="Times New Roman" w:eastAsia="Times New Roman" w:cs="Times New Roman"/>
          <w:b w:val="0"/>
          <w:sz w:val="24"/>
        </w:rPr>
        <w:t>Cure 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[Year], at [time]. Only Cure Objections made in writing and timely filed will be considered by the Court at the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promptly following the Debtors’ selection of the Successful Bidder and the Backup Bidder, if any, at the conclusion of the Auction, the Debtors shall announce the Successful Bidder and the Backup Bidder, if any, and shall file with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Successful Bidder and the Backup Bidder, if any (the “</w:t>
      </w:r>
      <w:r>
        <w:rPr>
          <w:rFonts w:ascii="Times New Roman" w:hAnsi="Times New Roman" w:eastAsia="Times New Roman" w:cs="Times New Roman"/>
          <w:b w:val="0"/>
          <w:sz w:val="24"/>
        </w:rPr>
        <w:t>Successful Bidder Notice</w:t>
      </w:r>
      <w:r>
        <w:rPr>
          <w:rFonts w:ascii="Times New Roman" w:hAnsi="Times New Roman" w:eastAsia="Times New Roman" w:cs="Times New Roman"/>
          <w:b w:val="0"/>
          <w:sz w:val="24"/>
        </w:rPr>
        <w:t>”). The Successful Bidder Notice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identify the Successful Bidder and the Backup Bidder, if any, (b) state which Agreements listed on the Agreements Schedule will be assumed and assigned thereto, and (c) contain information with respect to adequate assurance of future performance provided by the Successful Bidder and the Backup Bidder, if any, under the relevant Agreements listed on the Agreements Schedule. Any objection to the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listed on the Agreements Schedule based solely on the issue of whether the Successful Bidder or Backup Bidder, if any, can provide adequate assurance of future performance as required by Section 365 of the Bankruptcy Code (collectively, the “</w:t>
      </w:r>
      <w:r>
        <w:rPr>
          <w:rFonts w:ascii="Times New Roman" w:hAnsi="Times New Roman" w:eastAsia="Times New Roman" w:cs="Times New Roman"/>
          <w:b w:val="0"/>
          <w:sz w:val="24"/>
        </w:rPr>
        <w:t>Adequate Assurance Objections</w:t>
      </w:r>
      <w:r>
        <w:rPr>
          <w:rFonts w:ascii="Times New Roman" w:hAnsi="Times New Roman" w:eastAsia="Times New Roman" w:cs="Times New Roman"/>
          <w:b w:val="0"/>
          <w:sz w:val="24"/>
        </w:rPr>
        <w:t>”, together with the Cure Objections, the “</w:t>
      </w:r>
      <w:r>
        <w:rPr>
          <w:rFonts w:ascii="Times New Roman" w:hAnsi="Times New Roman" w:eastAsia="Times New Roman" w:cs="Times New Roman"/>
          <w:b w:val="0"/>
          <w:sz w:val="24"/>
        </w:rPr>
        <w:t>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[Year], at [time]. Only Adequate Assurance Objections made in writing and timely filed will be considered by the Court at the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party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as set forth above, shall be deemed to have consented to the assumption and assignment of the Agreements listed on the Agreements Schedule to the Successful Bidder or the Backup Bidder and the Cure Amounts proposed by the Debtors in this Cure Notice, and shall be forever enjoined and barred from seeking any additional amount(s) on account of the Debtors’ cure obligations under Section 365 of the Bankruptcy Code or otherwise from the Debtors or their estates (except, to the extent applicable, with respect to matters arising after the closing of the Sale of the Assets and that are not otherwise paid in the ordinary course).</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hereby reserve all rights to amend, revise or supplement any documents relating to the Sale and/or to be executed, delivered, assumed, and/or performed in connection with the Sale, including the Scheduled Agreements.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and Bid Procedures Order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and Bid Procedures Order may also be examined at the Office of the Clerk of the Court, United States Bankruptcy Court, [court address], during normal business hours.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w:t>
      </w:r>
    </w:p>
    <w:p>
      <w:pPr>
        <w:keepNext w:val="0"/>
        <w:spacing w:before="120" w:after="0" w:line="260" w:lineRule="exact"/>
        <w:ind w:left="72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