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Breach of Warranty of Habitability and Request for Repair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[sender' information]</w:t>
      </w:r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[method of delivery]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[recipient information]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[tenant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Rental Premises: [address of premises]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of Breach of Warranty of Habitability and Request for Repair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Dear [recipient name]: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[date], [tenant's] tenancy at [address of rental premises] began. Since that time, [Landlord] has breached the warranty of habitability owed to Tenant. This letter shall serve as notice of this breach and demand for timely repair/remediation of the identified conditions.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or about [date], the following defects in the [Rental Premises] began and have persisted since. These defects affect “vital facilities” and reduce habitability of [address of rental premises]. Specifically, these defects are: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[itemize defects]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Pursuant to Chess v. Muhammad, 179 N.J. Super. 75, 80 (App.Div. 1981) [Landlord] is entitled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amount of time to correct these deficiencies. It is the Tenant's position that [Time Period] is reasonable under these circumstance. [Time Period] is reasonable because [explanation].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be advised that if these defects are not abated by [date], Tenant will exercise [his/her/their] right to withhold the rent due to [landlord's name] pursuant to Marini v. Ireland, 56 N.J. 130, 146 (1970) &amp; Berzito v. Gambino, 63 N.J. 460, 469 (1973).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right"/>
      </w:pPr>
      <w:r>
        <w:rPr>
          <w:rFonts w:ascii="Times New Roman" w:hAnsi="Times New Roman" w:eastAsia="Times New Roman" w:cs="Times New Roman"/>
          <w:b w:val="0"/>
          <w:sz w:val="24"/>
        </w:rPr>
        <w:t>Respectfully,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tenant or tenant's representative]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