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Claim of Privilege or Work Product Protection for Previously Disclosed Material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WASHINGTON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[party receiving materials, e.g., Plaintiff] [receiving party name] and to [his or her or its] attorney of record: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[Producing party designation, e.g., Defendant] [producing party name] hereby gives notice that in responding to [receiving party designation, e.g., plaintiff] [receiving party name]'s [specify discovery request, e.g., First Request for Production of Documents] on or about [date of response or production], materials subject to [specify privilege, e.g., attorney-client] privilege and/or work product protection were inadvertently produced. Specifically, [identify materials produced, e.g., Bates-numbered documents 0015 and 0020] produced in response to [specify discovery request, e.g., Paragraph 5 of Plaintiff's First Request for Production of Document] are subject to [specify privilege, or protection, e.g., work product protection] because [identify basis for claim, e.g., they are witness statements taken by representatives of defendant's counsel in anticipation of litigation].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provided by Wash. CR 26(b)(6), [producing party designation, e.g., defendant] [producing party name] hereby requests that [receiving party designation, e.g., plaintiff] [receiving party name] promptly return these materials to [producing party designation, e.g., defendant] [producing party name], or destroy these materials and any copies, and further requests that [receiving party designation, e.g., plaintiff] [receiving party name] not use or disclose the information or materials absent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 order finding that the material is not subject to the claim of privilege or work product protection. If [receiving party designation, e.g., plaintiff] [receiving party name] disclosed this information to others before this notice was received, [he or she or it] should take reasonable steps to retrieve the information.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[producing party designation, e.g., Defendant] [producing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