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Contest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NOTICE OF CONTEST OF LIEN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</w:t>
        <w:tab/>
        <w:t>[name of Lien Claimant]</w:t>
      </w:r>
    </w:p>
    <w:p>
      <w:pPr>
        <w:keepNext w:val="0"/>
        <w:spacing w:before="6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Lien Claimant]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YOU ARE NOTIFIED THAT THE UNDERSIGNED CONTESTS THE CLAIM OF LIEN FILED BY YOU ON [day, month year lien was filed], AND RECORDED IN [type of book i.e. deed or lien] BOOK [book page number] PAGE [page number] OF THE PUBLIC RECORDS OF [county in which lien is recorded] AGAINST PROPERTY OWNED BY [property owner’s name] AND THAT THE TIME WITHIN WHICH YOU MAY COMMENCE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LIEN ACTION TO ENFORCE YOUR LIEN IS LIMITED TO 60 DAYS FROM RECEIPT OF THIS NOTICE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THIS THE [day of signing] DAY OF [month of signing], [year of signing].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 xml:space="preserve">THE ABOVE-REFERENCED LIEN WILL EXPIRE AND BE VOID IF YOU DO NOT: (1) COMMENCE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LIEN ACTION FOR RECOVERY OF THE AMOUNT OF THE LIEN CLAIM PURSUANT TO O.C.G.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. § 44-14-361.1 WITHIN 60 DAYS FROM RECEIPT OF THIS NOTICE; AND (2)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NOTICE OF COMMENCEMENT OF LIEN ACTION WITHIN 30 DAYS OF FILING THE ABOVE-REFERENCED LIEN ACTION.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NAME: [name of signing party]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TITLE: [capacity of signatory (owner, contractor, agent, or attorney]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