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Formation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FORMATION OF [name of the limited partnership],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PARTNERSHIP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of the formation of the above-named limited partnership to carry on business in New York State and elsewhere. Pursuant to the </w:t>
      </w:r>
      <w:r>
        <w:rPr>
          <w:rFonts w:ascii="Times New Roman" w:hAnsi="Times New Roman" w:eastAsia="Times New Roman" w:cs="Times New Roman"/>
          <w:b w:val="0"/>
          <w:sz w:val="24"/>
        </w:rPr>
        <w:t>Revised Limited Partnership Act Section 121-201(c)</w:t>
      </w:r>
      <w:r>
        <w:rPr>
          <w:rFonts w:ascii="Times New Roman" w:hAnsi="Times New Roman" w:eastAsia="Times New Roman" w:cs="Times New Roman"/>
          <w:b w:val="0"/>
          <w:sz w:val="24"/>
        </w:rPr>
        <w:t>, the following information regarding such limited partnership (hereafter "the limited partnership") is hereby provided: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partnership is [name of the limited partnership].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certificate of the limited partnership was filed with the Secretary of State on [date filed].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county in New York in which the office of the limited partnership is to be located is [name of the county].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Secretary of State has been designated as agent of the limited partnership upon whom process against it may be served. The Secretary of State shall mail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any process against the limited partnership that was served upon him or her to the following post office address: [address].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and the business or residence street address of each general partner are available from the Secretary of State.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latest date upon which the limited partnership is to dissolve is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character or purpose of the limited partnership is to [character or purpose of the limited partnership].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