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Lis Pendens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name and bar ID]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[law firm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[telephone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Attorneys for Plaintiff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WHOM IT MAY CONCERN: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Notice is hereby given of the commencement and pendency of the above entitled Civil Action, the general objects of which are: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foreclose the Mortgage made by [mortgagor name(s)] to [mortgagee name], dated [mortgage date], and recorded in the [county name] County Clerk's/Register's Office on [recording date], in [recording book and page and/or instrument number]; and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recover possession of the land commonly known as [street address of property]. 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more complete legal description is attached hereto as "Exhibit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  <w:r>
        <w:rPr>
          <w:rFonts w:ascii="Times New Roman" w:hAnsi="Times New Roman" w:eastAsia="Times New Roman" w:cs="Times New Roman"/>
          <w:b w:val="0"/>
          <w:sz w:val="24"/>
        </w:rPr>
        <w:t>"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Complaint in this action was filed on [date the complaint was filed].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 name], Esq.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[LEGAL DESCRIPTION]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Notice Pursuant to N.J.S.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>. 46:10B-51(d)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following information is provided pursuant to N.J.S.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 46:10B-51(d):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representative of the creditor and any servicer who is responsible for receiving complaints of property maintenance and code violations pursuant to N.J.S.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 46:10B-51(b) is as follows: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Full Name: [name]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Address: [address]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Telephone Number: [telephone number]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 the event that the creditor or servicer herein is located out-of-State, the in-State representative or agent who shall be responsible for the care, maintenance, security, and upkeep of the property if it becomes vacant and abandoned is as follows: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Full Name: [name]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Address: [address]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Telephone Number: [telephone number]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Fax Number: [fax number]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Email: [email address]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