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IN THE UNITED STATES PATENT AND TRADEMARK OFFICE</w:t>
      </w:r>
    </w:p>
    <w:p>
      <w:pPr/>
      <w:r>
        <w:rPr>
          <w:rFonts w:ascii="Times New Roman" w:hAnsi="Times New Roman" w:eastAsia="Times New Roman" w:cs="Times New Roman"/>
          <w:b/>
          <w:sz w:val="24"/>
        </w:rPr>
        <w:t>BEFORE THE TRADEMARK TRIAL AND APPEAL BOARD</w:t>
      </w:r>
    </w:p>
    <w:p>
      <w:pPr/>
    </w:p>
    <w:p>
      <w:pPr/>
    </w:p>
    <w:p>
      <w:pPr/>
      <w:r>
        <w:rPr>
          <w:rFonts w:ascii="Times New Roman" w:hAnsi="Times New Roman" w:eastAsia="Times New Roman" w:cs="Times New Roman"/>
          <w:sz w:val="24"/>
        </w:rPr>
        <w:t>NOTICE OF OPPOSITION</w:t>
      </w:r>
    </w:p>
    <w:p>
      <w:pPr/>
      <w:r>
        <w:rPr>
          <w:rFonts w:ascii="Times New Roman" w:hAnsi="Times New Roman" w:eastAsia="Times New Roman" w:cs="Times New Roman"/>
          <w:sz w:val="24"/>
        </w:rPr>
        <w:t>Applicant Serial No: [number]</w:t>
      </w:r>
    </w:p>
    <w:p>
      <w:pPr/>
      <w:r>
        <w:rPr>
          <w:rFonts w:ascii="Times New Roman" w:hAnsi="Times New Roman" w:eastAsia="Times New Roman" w:cs="Times New Roman"/>
          <w:sz w:val="24"/>
        </w:rPr>
        <w:t>Filed: [application filing date]</w:t>
      </w:r>
    </w:p>
    <w:p>
      <w:pPr/>
      <w:r>
        <w:rPr>
          <w:rFonts w:ascii="Times New Roman" w:hAnsi="Times New Roman" w:eastAsia="Times New Roman" w:cs="Times New Roman"/>
          <w:sz w:val="24"/>
        </w:rPr>
        <w:t>Published for Opposition: [application publication date]</w:t>
      </w:r>
    </w:p>
    <w:p>
      <w:pPr/>
      <w:r>
        <w:rPr>
          <w:rFonts w:ascii="Times New Roman" w:hAnsi="Times New Roman" w:eastAsia="Times New Roman" w:cs="Times New Roman"/>
          <w:sz w:val="24"/>
        </w:rPr>
        <w:t>Mark: [mark opposed]</w:t>
      </w:r>
    </w:p>
    <w:p>
      <w:pPr/>
      <w:r>
        <w:rPr>
          <w:rFonts w:ascii="Times New Roman" w:hAnsi="Times New Roman" w:eastAsia="Times New Roman" w:cs="Times New Roman"/>
          <w:sz w:val="24"/>
        </w:rPr>
        <w:t>Commissioner for Trademarks</w:t>
      </w:r>
    </w:p>
    <w:p>
      <w:pPr/>
      <w:r>
        <w:rPr>
          <w:rFonts w:ascii="Times New Roman" w:hAnsi="Times New Roman" w:eastAsia="Times New Roman" w:cs="Times New Roman"/>
          <w:sz w:val="24"/>
        </w:rPr>
        <w:t>Trademark Trial and Appeal Board</w:t>
      </w:r>
    </w:p>
    <w:p>
      <w:pPr/>
      <w:r>
        <w:rPr>
          <w:rFonts w:ascii="Times New Roman" w:hAnsi="Times New Roman" w:eastAsia="Times New Roman" w:cs="Times New Roman"/>
          <w:sz w:val="24"/>
        </w:rPr>
        <w:t>P.O. Box 1451</w:t>
      </w:r>
    </w:p>
    <w:p>
      <w:pPr/>
      <w:r>
        <w:rPr>
          <w:rFonts w:ascii="Times New Roman" w:hAnsi="Times New Roman" w:eastAsia="Times New Roman" w:cs="Times New Roman"/>
          <w:sz w:val="24"/>
        </w:rPr>
        <w:t>Alexandria, VA 22313-1451</w:t>
      </w:r>
    </w:p>
    <w:p>
      <w:pPr/>
      <w:r>
        <w:rPr>
          <w:rFonts w:ascii="Times New Roman" w:hAnsi="Times New Roman" w:eastAsia="Times New Roman" w:cs="Times New Roman"/>
          <w:sz w:val="24"/>
        </w:rPr>
        <w:t xml:space="preserve">Opposer [name of opposer] (“Opposer”), a [type and state of entity] with business address at </w:t>
      </w:r>
      <w:r>
        <w:rPr>
          <w:rFonts w:ascii="Times New Roman" w:hAnsi="Times New Roman" w:eastAsia="Times New Roman" w:cs="Times New Roman"/>
          <w:sz w:val="24"/>
        </w:rPr>
        <w:t>[</w:t>
      </w:r>
      <w:r>
        <w:rPr>
          <w:rFonts w:ascii="Times New Roman" w:hAnsi="Times New Roman" w:eastAsia="Times New Roman" w:cs="Times New Roman"/>
          <w:sz w:val="24"/>
        </w:rPr>
        <w:t>____________________</w:t>
      </w:r>
      <w:r>
        <w:rPr>
          <w:rFonts w:ascii="Times New Roman" w:hAnsi="Times New Roman" w:eastAsia="Times New Roman" w:cs="Times New Roman"/>
          <w:sz w:val="24"/>
        </w:rPr>
        <w:t>], believes that it will be damaged by the registration of the mark [applicant’s mark] shown in Application Serial No. [</w:t>
      </w:r>
      <w:r>
        <w:rPr>
          <w:rFonts w:ascii="Times New Roman" w:hAnsi="Times New Roman" w:eastAsia="Times New Roman" w:cs="Times New Roman"/>
          <w:sz w:val="24"/>
        </w:rPr>
        <w:t>____________________</w:t>
      </w:r>
      <w:r>
        <w:rPr>
          <w:rFonts w:ascii="Times New Roman" w:hAnsi="Times New Roman" w:eastAsia="Times New Roman" w:cs="Times New Roman"/>
          <w:sz w:val="24"/>
        </w:rPr>
        <w:t>], and hereby opposes the same and requests that registration to Applicant be refused.</w:t>
      </w:r>
    </w:p>
    <w:p>
      <w:pPr/>
      <w:r>
        <w:rPr>
          <w:rFonts w:ascii="Times New Roman" w:hAnsi="Times New Roman" w:eastAsia="Times New Roman" w:cs="Times New Roman"/>
          <w:sz w:val="24"/>
        </w:rPr>
        <w:t>As grounds for opposition, Opposer, by and through its undersigned counsel, alleges that:</w:t>
      </w:r>
    </w:p>
    <w:p>
      <w:pPr/>
      <w:r>
        <w:rPr>
          <w:rFonts w:ascii="Times New Roman" w:hAnsi="Times New Roman" w:eastAsia="Times New Roman" w:cs="Times New Roman"/>
          <w:sz w:val="24"/>
        </w:rPr>
        <w:t>Opposer is a company in the business of [briefly describe nature of opposer’s business].</w:t>
      </w:r>
    </w:p>
    <w:p>
      <w:pPr/>
      <w:r>
        <w:rPr>
          <w:rFonts w:ascii="Times New Roman" w:hAnsi="Times New Roman" w:eastAsia="Times New Roman" w:cs="Times New Roman"/>
          <w:sz w:val="24"/>
        </w:rPr>
        <w:t>Opposer and its predecessors in interest have used the mark [opposer’s mark] on [type of goods or services] continuously since at least [earliest date of first use].</w:t>
      </w:r>
    </w:p>
    <w:p>
      <w:pPr/>
      <w:r>
        <w:rPr>
          <w:rFonts w:ascii="Times New Roman" w:hAnsi="Times New Roman" w:eastAsia="Times New Roman" w:cs="Times New Roman"/>
          <w:sz w:val="24"/>
        </w:rPr>
        <w:t>Opposer is the owner of U.S. Trademark Registration No. [</w:t>
      </w:r>
      <w:r>
        <w:rPr>
          <w:rFonts w:ascii="Times New Roman" w:hAnsi="Times New Roman" w:eastAsia="Times New Roman" w:cs="Times New Roman"/>
          <w:sz w:val="24"/>
        </w:rPr>
        <w:t>_____</w:t>
      </w:r>
      <w:r>
        <w:rPr>
          <w:rFonts w:ascii="Times New Roman" w:hAnsi="Times New Roman" w:eastAsia="Times New Roman" w:cs="Times New Roman"/>
          <w:sz w:val="24"/>
        </w:rPr>
        <w:t>] on the Principal Register for the trademark [opposer’s mark] covering [goods in opposer’s registration] in International Class [</w:t>
      </w:r>
      <w:r>
        <w:rPr>
          <w:rFonts w:ascii="Times New Roman" w:hAnsi="Times New Roman" w:eastAsia="Times New Roman" w:cs="Times New Roman"/>
          <w:sz w:val="24"/>
        </w:rPr>
        <w:t>_____</w:t>
      </w:r>
      <w:r>
        <w:rPr>
          <w:rFonts w:ascii="Times New Roman" w:hAnsi="Times New Roman" w:eastAsia="Times New Roman" w:cs="Times New Roman"/>
          <w:sz w:val="24"/>
        </w:rPr>
        <w:t>].</w:t>
      </w:r>
    </w:p>
    <w:p>
      <w:pPr/>
      <w:r>
        <w:rPr>
          <w:rFonts w:ascii="Times New Roman" w:hAnsi="Times New Roman" w:eastAsia="Times New Roman" w:cs="Times New Roman"/>
          <w:sz w:val="24"/>
        </w:rPr>
        <w:t>Said registration is valid and subsisting, and Opposer hereby gives notice in accordance with Trademark Rule of Practice 2.122(d)(2) that it will rely thereon as evidence in this proceeding, and a status copy thereof showing present title will be introduced into evidence on its behalf during Opposer’s testimony period.</w:t>
      </w:r>
    </w:p>
    <w:p>
      <w:pPr/>
      <w:r>
        <w:rPr>
          <w:rFonts w:ascii="Times New Roman" w:hAnsi="Times New Roman" w:eastAsia="Times New Roman" w:cs="Times New Roman"/>
          <w:sz w:val="24"/>
        </w:rPr>
        <w:t>The [opposer’s mark] trademark is inherently distinctive; it is a fanciful and coined term with no meaning other than to identify Opposer’s product.</w:t>
      </w:r>
    </w:p>
    <w:p>
      <w:pPr/>
      <w:r>
        <w:rPr>
          <w:rFonts w:ascii="Times New Roman" w:hAnsi="Times New Roman" w:eastAsia="Times New Roman" w:cs="Times New Roman"/>
          <w:sz w:val="24"/>
        </w:rPr>
        <w:t>Since introducing its [opposer’s mark] product in [year], Opposer has spent substantial time, effort and money to promote the sale of the product in the United States under the [opposer’s mark] mark. Within a very short time of its launch, the [opposer's mark] became exceptionally well-known throughout the United States and abroad.</w:t>
      </w:r>
    </w:p>
    <w:p>
      <w:pPr/>
      <w:r>
        <w:rPr>
          <w:rFonts w:ascii="Times New Roman" w:hAnsi="Times New Roman" w:eastAsia="Times New Roman" w:cs="Times New Roman"/>
          <w:sz w:val="24"/>
        </w:rPr>
        <w:t>Opposer has sold and continues to sell substantial quantities of [opposer’s mark]-branded products in the United States and has spent substantial time, effort and money promoting the sale of products under the [opposer’s mark] mark. In addition, since at least [date], Opposer and its [opposer's mark] product have received and continue to receive widespread media attention.</w:t>
      </w:r>
    </w:p>
    <w:p>
      <w:pPr/>
      <w:r>
        <w:rPr>
          <w:rFonts w:ascii="Times New Roman" w:hAnsi="Times New Roman" w:eastAsia="Times New Roman" w:cs="Times New Roman"/>
          <w:sz w:val="24"/>
        </w:rPr>
        <w:t>By virtue of Opposer’s substantial use, sales, advertising, and promotion of the [opposer’s mark] mark throughout the United States, the enormous publicity and media attention accorded the mark, and the inherently distinctive nature of the mark, the [opposer’s mark] mark has become a famous and well-known mark, has become distinctive of Opposer’s product, and has become famous within the meaning of Section 43(c) of the Lanham Act, as amended, 15 U.S.C. §1125(c).</w:t>
      </w:r>
    </w:p>
    <w:p>
      <w:pPr/>
      <w:r>
        <w:rPr>
          <w:rFonts w:ascii="Times New Roman" w:hAnsi="Times New Roman" w:eastAsia="Times New Roman" w:cs="Times New Roman"/>
          <w:sz w:val="24"/>
        </w:rPr>
        <w:t>Despite Opposer’s long prior common law and statutory rights in the [opposer’s mark] mark, Applicant [applicant name] (“Applicant”), with both constructive and actual notice of Opposer’s federal registrations, and long after Opposer established rights in and to the [opposer’s mark] mark, adopted and filed an application for registration of the mark [applicant’s mark] for “[goods and services specified in applicant],” as set forth in the Notice of Publication for the subject application.</w:t>
      </w:r>
    </w:p>
    <w:p>
      <w:pPr/>
      <w:r>
        <w:rPr>
          <w:rFonts w:ascii="Times New Roman" w:hAnsi="Times New Roman" w:eastAsia="Times New Roman" w:cs="Times New Roman"/>
          <w:sz w:val="24"/>
        </w:rPr>
        <w:t>Applicant's mark was published for opposition on [date]. Opposer filed for an Extension of Time to Oppose on [date], and the Trademark Trial and Appeal Board granted an extension until [date].</w:t>
      </w:r>
    </w:p>
    <w:p>
      <w:pPr/>
      <w:r>
        <w:rPr>
          <w:rFonts w:ascii="Times New Roman" w:hAnsi="Times New Roman" w:eastAsia="Times New Roman" w:cs="Times New Roman"/>
          <w:sz w:val="24"/>
        </w:rPr>
        <w:t>Opposer’s [opposer’s mark] mark has priority over Applicant’s mark because the filing date of Opposer’s trademark application for the [opposer’s mark] mark is [date], and Opposer’s date of first use is [date], well prior to the [date] filing date of Applicant’s application.</w:t>
      </w:r>
    </w:p>
    <w:p>
      <w:pPr/>
      <w:r>
        <w:rPr>
          <w:rFonts w:ascii="Times New Roman" w:hAnsi="Times New Roman" w:eastAsia="Times New Roman" w:cs="Times New Roman"/>
          <w:sz w:val="24"/>
        </w:rPr>
        <w:t>Opposer's [opposer’s mark] trademark became famous long before the [date] filing date of Applicant's application.</w:t>
      </w:r>
    </w:p>
    <w:p>
      <w:pPr/>
      <w:r>
        <w:rPr>
          <w:rFonts w:ascii="Times New Roman" w:hAnsi="Times New Roman" w:eastAsia="Times New Roman" w:cs="Times New Roman"/>
          <w:sz w:val="24"/>
        </w:rPr>
        <w:t>Applicant’s [applicant’s mark] mark is substantially or highly similar to the mark [opposer’s mark] in sound, appearance and commercial impression.</w:t>
      </w:r>
    </w:p>
    <w:p>
      <w:pPr/>
      <w:r>
        <w:rPr>
          <w:rFonts w:ascii="Times New Roman" w:hAnsi="Times New Roman" w:eastAsia="Times New Roman" w:cs="Times New Roman"/>
          <w:sz w:val="24"/>
        </w:rPr>
        <w:t>The goods and services set forth in the subject application are highly related to the products for which Opposer’s [opposer’s mark] mark is registered and used, in that the various goods and services set forth in the subject application could encompass products (or services related to products) offered for the same or similar indications as Opposer’s [opposer’s mark] product, or could reasonably be expected to originate from the same source as products offered under the [opposer’s mark] mark, such that many consumers who encounter Applicant’s [applicant’s mark] mark in connection with such products and services are likely to think that Applicant or Applicant’s [applicant’s mark] products are authorized by, sponsored by, licensed by, affiliated with, or related to the company that offers Opposer’s [opposer’s mark] products.</w:t>
      </w:r>
    </w:p>
    <w:p>
      <w:pPr/>
      <w:r>
        <w:rPr>
          <w:rFonts w:ascii="Times New Roman" w:hAnsi="Times New Roman" w:eastAsia="Times New Roman" w:cs="Times New Roman"/>
          <w:sz w:val="24"/>
        </w:rPr>
        <w:t>As a result, Applicant’s applied-for mark [applicant’s mark], if used in conjunction with the goods and services set forth in the subject application, is likely to cause confusion, mistake, or to deceive as to the origin, source, sponsorship or affiliation of Applicant’s goods.</w:t>
      </w:r>
    </w:p>
    <w:p>
      <w:pPr/>
      <w:r>
        <w:rPr>
          <w:rFonts w:ascii="Times New Roman" w:hAnsi="Times New Roman" w:eastAsia="Times New Roman" w:cs="Times New Roman"/>
          <w:sz w:val="24"/>
        </w:rPr>
        <w:t>Accordingly, Applicant’s applied-for mark [applicant’s mark] so resembles Opposer’s previously used and registered [opposer’s mark] mark, as to be likely, when applied to the goods set forth in Applicant’s application, to cause confusion, mistake or deception within the meaning of 15 U.S.C. § 1052(d).</w:t>
      </w:r>
    </w:p>
    <w:p>
      <w:pPr/>
      <w:r>
        <w:rPr>
          <w:rFonts w:ascii="Times New Roman" w:hAnsi="Times New Roman" w:eastAsia="Times New Roman" w:cs="Times New Roman"/>
          <w:sz w:val="24"/>
        </w:rPr>
        <w:t>Applicant’s applied-for mark [applicant’s mark] is a close approximation of Opposer’s previously used and registered [opposer’s mark] mark, which is a name or identity of substantial reputation that is closely identified with Opposer, so as to be likely, when applied to the goods set forth in Applicant’s application, to point uniquely to Opposer and to falsely suggest a connection with the Opposer within the meaning of 15 U.S.C. § 1052(a).</w:t>
      </w:r>
    </w:p>
    <w:p>
      <w:pPr/>
      <w:r>
        <w:rPr>
          <w:rFonts w:ascii="Times New Roman" w:hAnsi="Times New Roman" w:eastAsia="Times New Roman" w:cs="Times New Roman"/>
          <w:sz w:val="24"/>
        </w:rPr>
        <w:t>Applicant's applied-for mark [applicant’s mark] is substantially similar in sound and appearance to Opposer's distinctive and famous [opposer’s mark] trademark. As such, Applicant's [applicant’s mark] mark impairs and is likely to impair the distinctiveness of the [opposer’s mark] trademark and causes and is likely to cause dilution by blurring of that mark.</w:t>
      </w:r>
    </w:p>
    <w:p>
      <w:pPr/>
      <w:r>
        <w:rPr>
          <w:rFonts w:ascii="Times New Roman" w:hAnsi="Times New Roman" w:eastAsia="Times New Roman" w:cs="Times New Roman"/>
          <w:sz w:val="24"/>
        </w:rPr>
        <w:t xml:space="preserve">Opposer will be damaged by registration of Applicant's [applicant’s mark] trademark because such registration will support Applicant's dilution of Opposer's [opposer’s mark] trademark, </w:t>
      </w:r>
      <w:r>
        <w:rPr>
          <w:rFonts w:ascii="Times New Roman" w:hAnsi="Times New Roman" w:eastAsia="Times New Roman" w:cs="Times New Roman"/>
          <w:sz w:val="24"/>
        </w:rPr>
        <w:t>and will give color of exclusive statutory right to Applicant in violation and derogation of the prior and superior rights of Opposer.</w:t>
      </w:r>
    </w:p>
    <w:p>
      <w:pPr/>
    </w:p>
    <w:p>
      <w:pPr/>
      <w:r>
        <w:rPr>
          <w:rFonts w:ascii="Times New Roman" w:hAnsi="Times New Roman" w:eastAsia="Times New Roman" w:cs="Times New Roman"/>
          <w:sz w:val="24"/>
        </w:rPr>
        <w:t>WHEREFORE, Opposer respectfully prays that this Opposition be sustained and that registration to Applicant be refused.</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