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Notice of Postpetition Mortgage Fees, Expenses, and Charges (Official Form 410S2)</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Notice of Postpetition Mortgage Fees, Expenses, and Charges (Official Form 410S2) (PDF format)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Official Form 410S1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to be filed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debtor’s Chapter 13 bankruptcy case where the claim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debtor’s principal residence. The standard proof of claim form used in bankruptcy courts is Official Form B410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three-page form. Where applicable, this form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that must be attached to the proof of claim.</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official form is used to comply with Bankruptcy Rule 3002.1. That rule applies to claims in Chapter 13 cases that are secured by the debtor’s principal residence for which the debtor or trustee will make contractual installment payments under the plan. The claim holder is required to, among other things, file and serve on the debtor and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any post-petition fees, expenses, or charges that the claim holder asserts are recoverable against the debtor or the principal residence. The notice must itemize all such fees, expenses, and charges.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related content, see Chapter 13 Bankruptcy. For more information on proofs of claim, see Proofs of Claim in Bankruptcy.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official proof of claim form, see Proof of Claim (US Bankruptcy Court Official Form 410).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