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Unpaid Balance [and Demand for Payment]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UNPAID BALANCE [AND DEMAND FOR PAYMENT] FOR LABOR PERFORMED AND/OR MATERIALS DELIVERED (TX)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owner]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owner]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original 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original 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RE: Notice of Unpaid Account on [name of project]  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project]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Unpaid Claim: [$____ (include if appropriate: of which $____ is retainage, which will become due </w:t>
        <w:tab/>
        <w:t>upon completion of the work)]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Property Code Section 53.056, you are hereby notified that the invoice, statement, or billing attached to this Notice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accurate account of [as appropriate labor performed for, materials supplied to, or labor and materials furnished to or materials specially fabricated for and delivered to] [name of original contractor or subcontractor], during the month of [month], in connection with improvements on the referenced job site.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amount of $___ [amount unpaid] is now unpaid on this account. This claim has accrued under Section 53.053 of the Texas Property Code and/or is past-due under the terms of the contract referenced above.  Demand is hereby made under Section 53.058 of the Texas Property Code for payment of the amount set forth above.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 are further notified that if this account remains unpaid, you may be personally liable and your property subjected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unless you withhold payments from [name of the original contractor], your original contractor,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necessary to pay this claim or unless this claim is otherwise paid or settled.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