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[name of beneficiary; if beneficiary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minor or under other incapacity, add name and title of parent, guardian, or conservator, e.g., John Q. Smith, Parent of Beverly Anne Smith,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minor],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[name of trust].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gift has been made to the above-named trust. Pursuant to [section or paragraph of trust, e.g., Section 4.01] of that trust, you have the right to withdraw [the full amount or up to $ (amount)] of that gift.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exercise this right, you must notify the undersigned in writing [</w:t>
      </w:r>
      <w:r>
        <w:rPr>
          <w:rFonts w:ascii="Times New Roman" w:hAnsi="Times New Roman" w:eastAsia="Times New Roman" w:cs="Times New Roman"/>
          <w:b w:val="0"/>
          <w:sz w:val="24"/>
        </w:rPr>
        <w:t>if parent, guardian, or other representative is being notified, add: on behalf of (name of beneficiary)</w:t>
      </w:r>
      <w:r>
        <w:rPr>
          <w:rFonts w:ascii="Times New Roman" w:hAnsi="Times New Roman" w:eastAsia="Times New Roman" w:cs="Times New Roman"/>
          <w:b w:val="0"/>
          <w:sz w:val="24"/>
        </w:rPr>
        <w:t>] [on or before (date) or within (number) days after receipt of this notice].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trustee]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