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to Owner of Order for Specially Fabricated Materials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RE: [description of order]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Pursuant to Property Code Section 53.058, you are hereby notified that on [date], the undersigned received and accepted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in the amount of $[amount] from [name], your original contractor [</w:t>
      </w:r>
      <w:r>
        <w:rPr>
          <w:rFonts w:ascii="Times New Roman" w:hAnsi="Times New Roman" w:eastAsia="Times New Roman" w:cs="Times New Roman"/>
          <w:b/>
          <w:sz w:val="24"/>
        </w:rPr>
        <w:t>ALTERNATE PROVISION: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subcontractor of [name], your original contractor] for [description of specially fabricated material]. The material ordered constitutes “specially fabricated material” under Property Code Section 53.001(12) since it is being fabricated 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component part of the improvements referenced above so as to be reasonably unsuitable for use elsewhere.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of potential claimant]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