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and Responses to Notice to Admit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SUPREME COURT OF THE STATE OF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[COUNTY] COUNTY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pursuant to N.Y. C.P.L.R. § 3123, [name of party] responds to the notice to admit of [name of party serving notice to admit] dated [date], for the purpose of this action only, and subject to all pertinent objections to admissibility which may be interposed at the [trial/hearing],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October 15, 2002, Plaintiff began employment with Defendant.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Response to Request 1: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[Responding party] admits the allegation contained in Request 1.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October 30, 2002, Plaintiff received his first pay check for employment with Defendant.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Response to Request 2: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[Responding party] denies the allegation contained in Request 2.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November 25, 2005, Plaintiff and Defendant held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to discuss Defendant's job performance.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Response to Request 3: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[Responding party] admits that Plaintiff and Defendant met to discuss Defendant's job performance, but the meeting was held on November 28, 2005.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December 1, 2005,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witness saw Plaintiff and Defendant pushing and shoving each other at their place of employment.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Response to Request 4: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[Responding party] cannot truthfully admit or deny the allegations contained in Request 2 because [responding party] does not have knowledge as to what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unnamed witness saw on December 1, 2005.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December 15, 2005, Plaintiff wrongfully terminated Defendant's employment.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Response to Request 5: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[Responding party] cannot truthfully admit or deny the allegations contained in Request 3 because it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improper request seeking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legal conclusion.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December 1, 2005, Plaintiff met with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to discuss the details of his employment with Defendant.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Response to Request 6: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[Responding party] cannot admit or deny the allegation contained in Request 4 because the allegation pertains to information that is protected by the attorney-client privilege.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[City],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E-mail: [E-mail]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[Plaintiff/Defendant] [client's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[Counsel's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