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Tennessee, were filed on [date], with the Tennessee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Tennessee Revised Limited Liability Company Act (Tenn. Code Ann. § 48-249-101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agent in the State of Tennessee as required by the Act. The registered agent must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office that is identical with the registered office.</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Profits,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Profits," "Net Losses"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true</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Managers have complied with the duties and standards set forth in this Agreement when carrying out their duties hereunder,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Managers have complied with the duties and standards set forth in this Agreement when carrying out their duties hereunder,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Profits" and "Net Losses" shall mean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216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Profits or Net Losses,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Membership Interest of the Remaining Member bears to the aggregate of the Membership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Tennessee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Tennessee all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Percentage Interest of each Member;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all amendments thereto together with executed copies of any powers of attorney pursuant to which the Articles of Organization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all amendments thereto together with executed copies of any powers of attorney pursuant to which this Agreement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Company's books and records, including annual reports,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is fixed in the articles for the duration of the LLC, upon the expiration of that period, except that, in the case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LLC that is administratively dissolved pursuant to § 48-249-604 by reason of the expiration of that period of duration, the LLC may be reinstated pursuant to § 48-249-606;</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specified in the LLC documents;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of the members in accordance with § 48-249-603;</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of the organizers under § 48-249-602;</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under § 48-249-616 or 48-249-617;</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of the secretary of state under § 48-249-605; or</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At any time there are no members if:</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LLC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dissolution as provided in § 48-249-609, within ninety (90) days after the occurrence of the event that terminated the membership interest of the last remaining member, which notice of dissolution may be signed on behalf of the LLC by the personal representative of the last remaining member;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LLC documents specify that the termination of the membership interest of the last remaining member dissolves the LLC; provided, that if such notice of dissolution is not filed or the LLC documents do not provide for dissolution in that event, the LLC is not dissolved and is not required to be wound up and the personal representative of the last remaining member is automatically substituted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the last remaining member, effective as of the occurrence of the event that terminated the membership interest of the last remaining member. The dissolution date, if any, specified in the Articles of Organization.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date is specified in the Articles of Organization, the Articles of Organization may be amended and the date of dissolution of the limited liability company may be extended by vote of all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dissolution of the Company, the Company's assets shall be disposed of and its affairs wound up. The Company shall file, as soon as possible after the occurrence of any event set forth in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Dissolution as set forth in Paragraph </w:t>
      </w: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herein with the Secretary of State which discloses the dissolution of the limited liability company and the commencement of winding up of its business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Termination.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Upon the completion of the winding up of the Company's affairs, the Company shall file Articles of Termination with the Tennessee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r>
        <w:rPr>
          <w:rFonts w:ascii="Times New Roman" w:hAnsi="Times New Roman" w:eastAsia="Times New Roman" w:cs="Times New Roman"/>
          <w:b w:val="0"/>
          <w:sz w:val="24"/>
        </w:rPr>
        <w:t xml:space="preserve"> </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Tennessee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Tennessee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Tennessee.</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Tennessee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SPOUSAL CONSENT AND ACKNOWLEDGMENT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