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PROFESSIONAL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the laws of the State of New York by filing on [date], articles of organization with the Department of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Professional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the profession of [identify profession] and any other lawful act, business or activity for which limited liability companies may be formed under the laws of the State of New York and to do any and all other things determined by the Member or Managers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CLS LLC § 101 et seq.</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The Managers may change the principal place of business and establish additional places of business as they deem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who is located at the following address: [address], or such other agent as the Managers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three initial Managers 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of the Managers. The Managers shall also be vested with all specific rights and powers required for or appropriate to the management, conduct or operation of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authorized number of Managers may be increased or decreased by the Member at any time, in its sole and absolute discretion, upon notice to all Managers. Each Manager appointed by the Member shall hold office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Manager's earlier disqualification, death, resignation, expulsion or removal. Unless otherwise restricted by law, any Manager may be removed or expelled, with or without cause, at any time by the Member, and any vacancy caused by any such removal may be filled by action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Managers,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Managers or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professional manner. In carrying out their obligations, the Managers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including professional liability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 and consistent with any professional, regulatory or licensing requirements governing the administration of client funds.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will be rendering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on behalf of the Company, the Manager must be authorized to render that professional service under New York law and, if the Manager becomes disqualified to render that service, the Manager must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forthwith.</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carrying out their duties hereunder, the Managers shall not be liable to the Company or to the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the Member.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or professional liability, and all other insurance deemed necessary or appropriate by the Managers to the business of the Company, shall be carried in such amounts and of such types as shall be determined by the Managers, subject to Article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the Company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books shall be kept on the accrual basis and in accordance with reasonable accounting principles consistently applied.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fiscal year of the Company shall end on December 31.</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Internal Revenue Code of 1986 (the "Code"), as amended, or its counterpart in any subsequently enacted Internal Revenue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 Matters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the Member's interest in the Company. Any successor to the Member by merger or consolidation shall, without further act, be the Member hereunder, and the Company shall continue without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only sell, assign or exchange the Member's interest in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eligible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the restrictions on the sale or transfer of the Member's interest pursuant to New York law and this Agreement must be noted conspicuously on the face or back of every certificate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issued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disqualification, death,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Managers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to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Managers may deem reasonably necessary in order to meet any contingent or unforeseen liabilities or obligations of the Company arising out of, or in connection with, the business of the Company. Said reserves shall be paid over by the Managers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Managers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Managers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Words of gender used in this Agreement shall be interpreted to include the other gender, and words in the singular number shall be interpreted to include the plural (and vice-versa), when the sense so requires. The captions to each Article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for reference purposes and in no way define, limit or describe the scope or intent of this Agreement, or in any way affect it.</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the Member's respective legal representatives, heirs,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