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OF LLC], LLC,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have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[state] by filing on [date], articles of organization with the Secretary of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this Company is [name of LLC] Limited Liability Company.</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[state] and to do all other things determined by the Managers to be necessary, desirable or incidental to the foregoing purpose.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the Company shall become effective on the date the [applicable document, e.g., articles of organization, certificate of formation, etc.] are filed with the Secretary of State of [state], and shall continue until [date], unless the Company is dissolved earlier pursuant to the provisions of this Agreement or as provided in Section [applicable section] of the [Revised or Consolidated] Statutes of the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location of the principal place of business of the Company is [address]. The Managers may change the principal place of business and establish additional places of business as they deem necessary or desirable to conduct the 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Company’s agent for service of process shall be [name of agent], who is located at the following address: [address], or such other agent as the Managers may designate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three Managers initially are: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manager];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manager];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manager].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of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its actions taken as Managers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Members holding at least </w:t>
      </w:r>
      <w:r>
        <w:rPr>
          <w:rFonts w:ascii="Times New Roman" w:hAnsi="Times New Roman" w:eastAsia="Times New Roman" w:cs="Times New Roman"/>
          <w:b w:val="0"/>
          <w:sz w:val="24"/>
        </w:rPr>
        <w:t>[percent, e.g., seventy percent (70%)]</w:t>
      </w:r>
      <w:r>
        <w:rPr>
          <w:rFonts w:ascii="Times New Roman" w:hAnsi="Times New Roman" w:eastAsia="Times New Roman" w:cs="Times New Roman"/>
          <w:b w:val="0"/>
          <w:sz w:val="24"/>
        </w:rPr>
        <w:t xml:space="preserve"> of the Percentage Interests and entitled to vote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Rights and powers of the Managers, by way of illustration but not by way of limitation, shall include the right and power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imposed by this Agreement, admit additional Members in substitution of Members disposing of their interest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Managers or Members, including management services at the usual and customary rates prevailing in the management industry from time to time for similar services.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duly authorized representative (at the expense of such Member) during the regular business hours and at the principal office of the Company. </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Notify all Members of receipt of any notice of default from any lender, within ten (10) days after receipt of such notice.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in alphabetical order, of all current Members and past Members, together with the mailing address of each Member. </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copies of the Articles of Organization, any amendments thereto and powers of attorney, if any, pursuant to which the execution of the Articles of Organization have occurred.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copies of present and past documents relating to the operation and 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 but only for their own willful or fraudulent misconduct in the performance of their obligations under this Agreement, or for gross negligence or willful breach of their fiduciary duties under this Agreement. The receipt of advice of counsel that certain acts and omissions are within the scope of authority conferred by this Agreement shall be conclusive evidence of good faith; however, good faith may be determined without obtaining such legal advice.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hereby acknowledge that the Managers may, from time to time, engage in business enterprises similar to the business of the Company and competitive with the business of the Company. The Managers may engage in such similar and competitive enterprises without restriction and have no obligation to account to the Company nor to the Members for such activities.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are listed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reflect the capital contribution of each Member, indicating the amount of cash contributed, the value of property contributed, and/or the value of services contributed, and each Member’s percentage ownership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updated from time to time to reflect any change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issuance of additional interests by the Company,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or assignment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pursuant to the provisions herein or any other transaction or circumstance that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in this Agreement to the contrary, no Member shall have the right: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take part in the control of the Company business or to sign for or to bind the Company, such power being vested in the Managers.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have his capital contribution repaid except to the extent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require partition of the Company’s property or to compel any sale or appraisal of the Company’s assets.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or assign his interest in the Company or to constitute the vendee or assignee thereunder, except as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voluntarily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from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Member shall be personally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meeting of the Members of the Company, for the consideration of reports to be laid before such meeting and for the transaction of such other business as may properly be brought before such meeting, shall be held at the principal office of the Company in the City of [city], in [county] County, State of [state], or at such other place, either within or without the State of [state], as may be designated by the Managers and specified in the notice of such meeting. Each such meeting shall be held on the last [day of week, e.g., Tuesday] of each [month, e.g., September],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then on the next succeeding business day.</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 meetings of the Members of the Company may be held on any day, when called by the Managers, or by the Members who hold at least [percent, e.g., thirty percent (30%)] of the capital of the Company. Upon written request delivered either in person or by certified mail, return receipt requested, to the Managers by any Members entitled to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Members, such Managers shall forthwith cause notice to be given to the Members entitled to such notice. The meeting must be held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[number, e.g., ten (10)] nor more than [number, e.g., sixty (60)] days after the receipt of such request, as the Managers or Members may fix. If such notice is not given within twenty (20) days after the delivery or mailing of such request, the person or persons calling the meeting may fix the time of the meeting and give notice thereof in the manner provided for by law or this Agreement or cause such notice to be given by any designated representative. Each special meeting shall be called to convene between 8:00 </w:t>
      </w:r>
      <w:r>
        <w:rPr>
          <w:rFonts w:ascii="Times New Roman" w:hAnsi="Times New Roman" w:eastAsia="Times New Roman" w:cs="Times New Roman"/>
          <w:b/>
          <w:sz w:val="24"/>
        </w:rPr>
        <w:t>a</w:t>
      </w:r>
      <w:r>
        <w:rPr>
          <w:rFonts w:ascii="Times New Roman" w:hAnsi="Times New Roman" w:eastAsia="Times New Roman" w:cs="Times New Roman"/>
          <w:b w:val="0"/>
          <w:sz w:val="24"/>
        </w:rPr>
        <w:t>.m. and 6:00 p.m. and shall be held at the principal office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less than [number, e.g., ten (10)] nor more than [number, e.g., sixty (60)] days before the date fixed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written notice stating the time and place of the meeting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purposes of such meeting) shall be given.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notice shall be sent by personal delivery or by certified mail, return receipt requested, to each Member entitled to notice of the meeting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record as of the day preceding the day on which notice is given,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is duly fixed, as of that date. If mailed, the notice shall be addressed to the members at their respective addresses as they appear in the records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may otherwise be provided by law, the Articles of Organization or this Operating Agreement, at any meeting of the Members,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Percentage Interests of the Company, either present in person or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such meeting.</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Members entitled to vote may vote in person or by proxy. The person appointed as proxy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Unless the writing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otherwise provides, the presence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person who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operate to revoke the appointment. Notice to the Company, in writing or in open meeting, of the revocation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affect any vote or action previously taken or authorized.</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votes of Members shall be in accordance with their then existing percentage of capital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herein and 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net profits and net losses of the Company shall be allocated among the Members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Net profits shall be allocated (i) First, to the Members in proportion, to and to the extent of, the excess of prior allocations of net losses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over prior allocations of net profits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the reverse order in which such net losses were allocated and (ii) Thereafter, among the Members pro rata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Net losses shall be allocated: (i) First, to the Members in proportion to their Percentage Interests to the extent of any net profits allocated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over any net losses allocated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until any Member’s capital account is reduced to zero; (ii) Second, to the Members with positive capital account balances to the extent of, and in proportion to, their remaining positive capital account balances; and (iii) Thereafter, to the Members pro rata in proportion to their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to the contrary, in order to comply with tax rules set forth in the Code and the Treasury Regulations and to permit the Company to obtain the benefits of the “safe harbor” provided by Treasury Regulation § 1.704-1(b)(2)(ii), any special allocations required to be made pursuant to the Treasury Regulations under Section 704(b) of the Code, including those related to “minimum gain chargebacks” and “qualified income offsets” (the “Regulatory Allocations”), shall be made, prior to the allocations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in accordance with the provisions set forth in such Treasury Regulations. The Regulatory Allocations are intended to comply with certain requirements of the Regulations. It is the intent of the Members that, to the extent possible, all Regulatory Allocations shall be offset either with other Regulatory Allocations or with special allocations of other items of Company income, gain, loss, or deduction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hereof. Therefore, notwithstanding any other provision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(other than the Regulatory Allocations), the Managers shall make such offsetting special allocations of Company income, gain, loss or deduction in whatever manner it determines appropriate so that, after such offsetting allocations are made, each Member’s capital account balance is, to the extent possible, equal to the capital account balance such Member would have had if the Regulatory Allocations were not part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5.2.</w:t>
      </w:r>
      <w:r>
        <w:rPr>
          <w:rFonts w:ascii="Times New Roman" w:hAnsi="Times New Roman" w:eastAsia="Times New Roman" w:cs="Times New Roman"/>
          <w:b w:val="0"/>
          <w:sz w:val="24"/>
        </w:rPr>
        <w:t>, and all credits of the Company shall be allocated among the Members for federal income tax purposes in accordance with their Percentage Interests. Notwithstanding the foregoing, to the extent required by Section 704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as reasonably determined by the Managers. Any elections or other decisions relating to such allocation shall be made by the Managers in any manner that they reasonably determine reflects the purpose and intention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books shall be kept on the accrual basis and in accordance with reasonable accounting principles consistently applied.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fiscal year of the Company shall end on December 31.</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each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capital accounts.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be maintained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for each Member in accordance with this Treasury Regulations section 1.704-1(b).</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following the transfer of any interest in the Company, the capital account of the transferee-Member shall be equal to the capital account of the transferor-Member attributable to the transferred interest.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revalue the Capital Accounts of the Members in accordance with Treasury Regulation section 1.704-1(b)(2)(iv)(f)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 Reg.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Managers reasonably determine that such adjustments are not necessary or appropriate to reflect the relative economic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of available cash shall be made to the Members at the times determined by the Managers. Distributions shall be made to the Members pro rata, in proportion to their positive capital account balances. For purposes of this Agreement, “available cash” shall mean the gross cash proceeds received by the Company during the fiscal year less the amounts used to pay Company expenses, used to repay Company debt, used to purchase capital improvements and the amounts set aside as reserves, all as reasonably determined by the Managers.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ten (10) days of the end of each fiscal quarter, the Managers shall use commercially reasonable efforts to distribute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available cash to each Member equal to the product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taxable income of the Company allocated to such Member and (b) [tax rate, e.g., 45%, or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based on the highest marginal tax rate in the applicable jurisdiction]. Any amounts distributed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of distributions made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or otherwise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and shall reduce the amount of any future distributions to which such Member is entitled pursuant to such Sections (or otherwise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desire to sell, assign or exchange all or any part of his interest in the Company to any person seeking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for no consideration, such as gift or bequest), such Member (hereinafter “assignor”) who desires to assign all or any part of his interest in the Company shall have the right to transfer to another the whole or any part of such interest, except as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Member desires to sell or assign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his interest in the Company, as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6.1.</w:t>
      </w:r>
      <w:r>
        <w:rPr>
          <w:rFonts w:ascii="Times New Roman" w:hAnsi="Times New Roman" w:eastAsia="Times New Roman" w:cs="Times New Roman"/>
          <w:b w:val="0"/>
          <w:sz w:val="24"/>
        </w:rPr>
        <w:t>, he shall first offer the same, in writing, to the Members, who shall have thirty (30) days after receipt of such offer to accept or reject the offer. If more than one Member accepts such offer, the interest being offered shall be allocated among the accepting Members in proportion to the size of their respective capital accounts.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offer is rejected, in whole or in part, the Member shall be free to sell or assign the rejected interest, on the same terms and conditions,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provided the Members have previously agreed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fifty percent (50%) affirmative vote to approve such sale or assignment, and provided also that the sale is consummated within sixty (60) days following the expiration of the thirty (30) day period referred to in the preceding paragraph. If the same is not consummated within said sixty (60) days, the proposed sale or assignment shall again be subject to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assignment of any Member’s interest in compliance with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even if it results in the substitution of the assignee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herein, shall release the assignor from those liabilities to the Company which survive such assignment.</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assignment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all or any part of his interest in the Company shall be subject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assignment instrument shall be in form and substance satisfactory to the Managers. Among the reasons for which consent may be withheld by the Managers is that they have determined, in their sole discretion, that such substitution may: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legal status of the Company under state or federal law or both; or (ii)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Members who are not participating in the transfer under state or federal law or both. The request for consent to sales or assignments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all instruments and documents to be utilized in the transfer and shall be made by certified or registered mail, return receipt requested, sent to the Managers at least sixty (60) days prior to the proposed date of transfer. Any additional information requested by the Managers, including any information relative to the assignee, shall be promptly furnished by the requesting assignor, and no decision need be reached by the Managers until such information is furnished.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assignee shall have submitted his written acceptance and adoption of all the terms and provisions of this Agreement, including all amendments to this Agreement to be made subsequent to the assignment.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assignor shall have paid, or obligated himself to pay, as the Company may determine, all reasonable expenses connected with such transfer, including, but not limited to, the cost of preparing and filing any amendment to this Agreement necessary to effectuate the transfer.</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Member’s interest in the Company has been registered under the Securities Act of 1933, as amended (the “Act”). Notwithstanding any other provisions in this Agreement, no Member’s interest may be offered for sale, sold, transferred or otherwise disposed of unless: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interest is registered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expense of the transferring Member, the Company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letter, satisfactory to the Company, to the effect that such transfer is exempt from registration under the Act and is in compliance with all applicable federal securities laws and regulations;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“no-action” letter from the staff of the Securities and Exchange Commission (“SEC”), satisfactory to the Company, to the effect that the transfer is exempt from registration.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retirement, resignation, expulsion, bankruptcy or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any other occurrence which terminates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 the Company, except where the Members, other than the effected Member, vote unanimously to continue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expires;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sell or transfer substantially all of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ceases its business operations;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unanimously vote to dissolve and terminate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or incompetency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in the event the Members continue the business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Member’s personal representative, executor or administrator shall have all of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the purpose of managing or settling his estate, as well as such power as the decedent or incompetent possessed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of his interest in the Company and to join with such assignee in following the procedures contained in this Agreement so that the assignee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dissolution and/or termination of the Company, the Managers shall proceed with the liquidation of the Company and sale of its assets. The proceeds of such liquidation shall be applied and distributed in the following order or priority: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payment of the debts and liabilities of the Company (other than any loans or advances that may have been made by the Members to the Company) and expenses of 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payment of any loans or advances made to or for the benefit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for any compensation owed to any of the Managers, but if the amount available for repayment shall be insufficient, then the amount available shall be distributed among the applicable Members through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whose numerator is the amount owed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member and whose denominator is the total amount owed to all members (thus, for example, if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were owed $2,000 and Member B were owed $1,000, and the amount available to compensate them was $600, then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would receive $400 (2/3 of $600) and Member B would receive $200 (1/3 of $600));</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setting up of any reserves which the Managers may deem reasonably necessary in order to meet any contingent or unforeseen liabilities or obligations of the Company arising out of, or in connection with, the business of the Company. Said reserves shall be paid over by the Managers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Managers shall deem advisable, the financial institution shall distribute the balance remaining in the manner provided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payment of the balance, if any, of the respective capital accounts of the Members, if any.</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all the acts provided for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have been accomplished, the Managers shall file such Articles of Dissolution and any other certificate required in the State of [state] and in any other state that may be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amended by the Managers without the approval of the Members, provided that such amendment is: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solely for the purpose of clarification and does not change the substance 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the purpose of substituting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merely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implementation of the terms of this Agreement;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opinion of counsel for the Company, necessary or appropriate to satisfy current requirements of the Internal Revenue Code of 1986, as amended, with respect to limited liability companies, or any federal or state securities laws or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amendment made pursuant to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may be made effective as of the date of this Agreement. All Members shall be notified as to the substance of any such amendment to this Agreement and, upon request, shall be furnished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amendments to this Agreement shall require the approval of Members holding at least [percent, e.g., seventy percent (70%)] of the Percentage Interests.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notices or other communications which may be sent to any Member shall be sent to the address noted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unless the Company is notified in writing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address. Notices or other communications shall be deemed to have been given only when deposited with the United States Postal Service by registered or certified mail, return receipt requested, addressed as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at least 70% of the Percentage Interests. Each Member agrees to indemnify the Company to the extent of such Member’s share of any imputed underpayment (or similar amount under local or state law) promptly upon written notice of the Company. The initial Tax Representative shall be [_______________________].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multiple 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one agreement, by each of the parties hereto on the dates indicated in the acknowledgment of said parties, notwithstanding that all of the parties are not signatories to the same part or that signature pages from different parts are combined. The signature of any party to any part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to and may be appended to any other part.</w:t>
      </w:r>
    </w:p>
    <w:p>
      <w:pPr>
        <w:keepNext w:val="0"/>
        <w:spacing w:before="120" w:after="0" w:line="260" w:lineRule="exact"/>
        <w:ind w:left="1080" w:right="0" w:firstLine="0"/>
        <w:jc w:val="left"/>
      </w:pPr>
      <w:r>
        <w:rPr>
          <w:rFonts w:ascii="Times New Roman" w:hAnsi="Times New Roman" w:eastAsia="Times New Roman" w:cs="Times New Roman"/>
          <w:b w:val="0"/>
          <w:sz w:val="24"/>
        </w:rPr>
        <w:t>10.5.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of gender used in this Agreement shall be interpreted to include the other gender, and words in the singular number shall be interpreted to include the plural (and vice-versa), when the sense so requires. The captions to each Article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for reference purposes and in no way define, limit or describe the scope or intent of this Agreement, nor in any way affect it.</w:t>
      </w:r>
    </w:p>
    <w:p>
      <w:pPr>
        <w:keepNext w:val="0"/>
        <w:spacing w:before="120" w:after="0" w:line="260" w:lineRule="exact"/>
        <w:ind w:left="1080" w:right="0" w:firstLine="0"/>
        <w:jc w:val="left"/>
      </w:pPr>
      <w:r>
        <w:rPr>
          <w:rFonts w:ascii="Times New Roman" w:hAnsi="Times New Roman" w:eastAsia="Times New Roman" w:cs="Times New Roman"/>
          <w:b w:val="0"/>
          <w:sz w:val="24"/>
        </w:rPr>
        <w:t>10.6.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contains the entire understanding between the parties and supersedes any prior understandings and agreements between them, whether written or oral, concerning the within subject matter. There are no representations, agreements, arrangements or understandings, oral or written, between the parties hereto relating to the subject matter of this Agreement which are not described herein.</w:t>
      </w:r>
    </w:p>
    <w:p>
      <w:pPr>
        <w:keepNext w:val="0"/>
        <w:spacing w:before="120" w:after="0" w:line="260" w:lineRule="exact"/>
        <w:ind w:left="1080" w:right="0" w:firstLine="0"/>
        <w:jc w:val="left"/>
      </w:pPr>
      <w:r>
        <w:rPr>
          <w:rFonts w:ascii="Times New Roman" w:hAnsi="Times New Roman" w:eastAsia="Times New Roman" w:cs="Times New Roman"/>
          <w:b w:val="0"/>
          <w:sz w:val="24"/>
        </w:rPr>
        <w:t>10.7.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10.8.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such Member either consents to the filing or such complaint or answer is not discharged or denied prior to the expiration of sixty (60) days following the date of filing.</w:t>
      </w:r>
    </w:p>
    <w:p>
      <w:pPr>
        <w:keepNext w:val="0"/>
        <w:spacing w:before="120" w:after="0" w:line="260" w:lineRule="exact"/>
        <w:ind w:left="1080" w:right="0" w:firstLine="0"/>
        <w:jc w:val="left"/>
      </w:pPr>
      <w:r>
        <w:rPr>
          <w:rFonts w:ascii="Times New Roman" w:hAnsi="Times New Roman" w:eastAsia="Times New Roman" w:cs="Times New Roman"/>
          <w:b w:val="0"/>
          <w:sz w:val="24"/>
        </w:rPr>
        <w:t>10.9.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all Members and their respective legal representatives, heirs, permitted successors and permitted assigns, and no other person has or will have any rights, interest, or claims hereunder or be entitled to any benefits under or on account of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10.10.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hereto acknowledges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by such party of any of its obligations under this Agreement may give rise to irreparable harm to the other parties, for which monetary damages may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and hereby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threatened breach by such party of any such obligations, each of the other parties hereto shall, in addition to any and all other rights and remedies that may be available to them in respect of such breach, be entitled to seek equitable relief,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restraining order,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specific performance and any other relief that may be available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(without any requirement to post bond).</w:t>
      </w:r>
    </w:p>
    <w:p>
      <w:pPr>
        <w:keepNext w:val="0"/>
        <w:spacing w:before="120" w:after="0" w:line="260" w:lineRule="exact"/>
        <w:ind w:left="1080" w:right="0" w:firstLine="0"/>
        <w:jc w:val="left"/>
      </w:pPr>
      <w:r>
        <w:rPr>
          <w:rFonts w:ascii="Times New Roman" w:hAnsi="Times New Roman" w:eastAsia="Times New Roman" w:cs="Times New Roman"/>
          <w:b w:val="0"/>
          <w:sz w:val="24"/>
        </w:rPr>
        <w:t>10.11.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any party hereto institutes any legal suit, action or proceeding, including arbitration, against another party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arising out of or relating to this Agreement, the prevailing party in the suit, action or proceeding shall be entitled to receive, in addition to all other damages to which it may be entitled, the costs incurred by such party in conducting the suit, action or proceeding, including reasonable attorneys’ fees and expenses and court costs.</w:t>
      </w:r>
    </w:p>
    <w:p>
      <w:pPr>
        <w:keepNext w:val="0"/>
        <w:spacing w:before="120" w:after="0" w:line="260" w:lineRule="exact"/>
        <w:ind w:left="1080" w:right="0" w:firstLine="0"/>
        <w:jc w:val="left"/>
      </w:pPr>
      <w:r>
        <w:rPr>
          <w:rFonts w:ascii="Times New Roman" w:hAnsi="Times New Roman" w:eastAsia="Times New Roman" w:cs="Times New Roman"/>
          <w:b w:val="0"/>
          <w:sz w:val="24"/>
        </w:rPr>
        <w:t>10.12.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rights and remedies under this Agreement are cumulative and are in addition to and not in substitution for any other rights and remedies available at law or in equity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10.13.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any party of any of the provisions hereof shall be effective unless explicitly set forth in writing and signed by the party so waiving. No waiver by any party shall operate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in respect of any failure, breach or default not expressly identified by such written waiver, whether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or different character, and whether occurring before or after that waiver. No failure to exercise, or delay in exercising, any right, remedy, power or privilege arising from this Agreement shall operate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right, remedy, power or privilege hereunder preclude any other or further exercise thereof or the exercise of any other right, remedy, power or privilege.</w:t>
      </w:r>
    </w:p>
    <w:p>
      <w:pPr>
        <w:keepNext w:val="0"/>
        <w:spacing w:before="120" w:after="0" w:line="260" w:lineRule="exact"/>
        <w:ind w:left="1080" w:right="0" w:firstLine="0"/>
        <w:jc w:val="left"/>
      </w:pPr>
      <w:r>
        <w:rPr>
          <w:rFonts w:ascii="Times New Roman" w:hAnsi="Times New Roman" w:eastAsia="Times New Roman" w:cs="Times New Roman"/>
          <w:b w:val="0"/>
          <w:sz w:val="24"/>
        </w:rPr>
        <w:t>10.14.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 and 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for or against any of the parties hereto, regardless of which party was more responsible for the preparation of this Agreement or any portion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Members have entered into this Agreement and have hereunto set their hands to multiple copies hereof,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of Members and their capital contributions]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