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Louisiana, were filed on [date], with the Louisiana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operating agreement for the Company under the Louisiana Limited Liability Company Act (La. Rev. Stat. Ann. § 12:1301,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office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agent in the State of Louisiana as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initial Members shall contribute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Profits,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p>
    <w:p>
      <w:pPr>
        <w:keepNext w:val="0"/>
        <w:spacing w:before="200" w:after="0" w:line="260" w:lineRule="exact"/>
        <w:ind w:left="1800" w:right="0" w:firstLine="0"/>
        <w:jc w:val="both"/>
      </w:pPr>
      <w:r>
        <w:rPr>
          <w:rFonts w:ascii="Times New Roman" w:hAnsi="Times New Roman" w:eastAsia="Times New Roman" w:cs="Times New Roman"/>
          <w:b w:val="0"/>
          <w:sz w:val="24"/>
        </w:rPr>
        <w:t>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in accordance with the federal income tax accounting principles prescribed in Treasury Regulation §1.704-1(b)(2).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Profits," "Net Losses"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200" w:after="0" w:line="260" w:lineRule="exact"/>
        <w:ind w:left="1800" w:right="0" w:firstLine="0"/>
        <w:jc w:val="both"/>
      </w:pPr>
      <w:r>
        <w:rPr>
          <w:rFonts w:ascii="Times New Roman" w:hAnsi="Times New Roman" w:eastAsia="Times New Roman" w:cs="Times New Roman"/>
          <w:b w:val="0"/>
          <w:sz w:val="24"/>
        </w:rPr>
        <w:t>The three initial Managers are: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They and all subsequent Managers shall be Members and shall be solely responsible for the management of the Company's business. 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the Managers. The Managers shall also be vested with all specific rights and powers required for or appropriate to the management, conduct or operation of the business of the Company. Except for distributions made to Members as set forth in this Agreement and any fees for specific management services, the Managers shall receive no compensation from the Company for their actions taken as Managers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serve as such until resignation, death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adjudication of incompetency, or until the remaining Managers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is not chosen, until seventy percent (70%) of the Members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or Managers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by the Members or Managers for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and Powers of Managers.</w:t>
      </w:r>
    </w:p>
    <w:p>
      <w:pPr>
        <w:keepNext w:val="0"/>
        <w:spacing w:before="200" w:after="0" w:line="260" w:lineRule="exact"/>
        <w:ind w:left="1800" w:right="0" w:firstLine="0"/>
        <w:jc w:val="both"/>
      </w:pPr>
      <w:r>
        <w:rPr>
          <w:rFonts w:ascii="Times New Roman" w:hAnsi="Times New Roman" w:eastAsia="Times New Roman" w:cs="Times New Roman"/>
          <w:b w:val="0"/>
          <w:sz w:val="24"/>
        </w:rPr>
        <w:t>Rights and powers of the Managers, by way of illustration but not by way of limitation, shall include the right and power to:</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Purchase goods or services from any corporation or other form of business enterprise, including management services at the usual and customary rates prevailing in the management industry from time to time for similar services.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 (containing such information as shall be necessary to record allocations and distributions), and make such records and books of account available for inspection and audit by any Member or his or her duly authorized representative (at the expense of such Member) during the regular business hours and at the principal office of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Prepare and distribute to all Members tax reporting information.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Notify all Members of receipt of any notice of default from any lender, within 10 days after receipt of such notice.</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Maintain all books and adhere to the detailed record keeping requirements set forth in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Managers.</w:t>
      </w:r>
    </w:p>
    <w:p>
      <w:pPr>
        <w:keepNext w:val="0"/>
        <w:spacing w:before="200" w:after="0" w:line="260" w:lineRule="exact"/>
        <w:ind w:left="1800" w:right="0" w:firstLine="0"/>
        <w:jc w:val="both"/>
      </w:pPr>
      <w:r>
        <w:rPr>
          <w:rFonts w:ascii="Times New Roman" w:hAnsi="Times New Roman" w:eastAsia="Times New Roman" w:cs="Times New Roman"/>
          <w:b w:val="0"/>
          <w:sz w:val="24"/>
        </w:rPr>
        <w:t>If Managers have complied with the duties and standards set forth in this Agreement when carrying out their duties hereunder, the Managers shall not be liable to the Company nor to any Member for their good faith actions or failure to act, nor for any errors of judgment, nor for any act or omission believed in good faith to be within the scope of authority conferred by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Managers have complied with the duties and standards set forth in this Agreement when carrying out their duties hereunder, 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Paragraph </w:t>
      </w:r>
      <w:r>
        <w:rPr>
          <w:rFonts w:ascii="Times New Roman" w:hAnsi="Times New Roman" w:eastAsia="Times New Roman" w:cs="Times New Roman"/>
          <w:b w:val="0"/>
          <w:sz w:val="24"/>
        </w:rPr>
        <w:t>4.4.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Manager Authority.</w:t>
      </w:r>
    </w:p>
    <w:p>
      <w:pPr>
        <w:keepNext w:val="0"/>
        <w:spacing w:before="200" w:after="0" w:line="260" w:lineRule="exact"/>
        <w:ind w:left="1800" w:right="0" w:firstLine="0"/>
        <w:jc w:val="both"/>
      </w:pPr>
      <w:r>
        <w:rPr>
          <w:rFonts w:ascii="Times New Roman" w:hAnsi="Times New Roman" w:eastAsia="Times New Roman" w:cs="Times New Roman"/>
          <w:b w:val="0"/>
          <w:sz w:val="24"/>
        </w:rPr>
        <w:t>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Profits" and "Net Losses" shall mean the taxable income or loss of the Partnership, as determined for federal income tax purposes pursuant to Treasury Regulations Section 1.704-1(b)(2), for each fiscal year of the Partnership, taking into account any adjustments necessary in order to comply with Treasury Regulations Section 1.704-1(b)(2)(iv).</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2160" w:right="0" w:firstLine="0"/>
        <w:jc w:val="both"/>
      </w:pPr>
      <w:r>
        <w:rPr>
          <w:rFonts w:ascii="Times New Roman" w:hAnsi="Times New Roman" w:eastAsia="Times New Roman" w:cs="Times New Roman"/>
          <w:b w:val="0"/>
          <w:sz w:val="24"/>
        </w:rPr>
        <w:t>Net Loss shall be allocated to the Members: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2160" w:right="0" w:firstLine="0"/>
        <w:jc w:val="both"/>
      </w:pPr>
      <w:r>
        <w:rPr>
          <w:rFonts w:ascii="Times New Roman" w:hAnsi="Times New Roman" w:eastAsia="Times New Roman" w:cs="Times New Roman"/>
          <w:b w:val="0"/>
          <w:sz w:val="24"/>
        </w:rPr>
        <w:t>Net Profit shall be allocated:</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val="0"/>
          <w:sz w:val="24"/>
        </w:rPr>
        <w:t>(4)</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allocated to the Members in proportion to their Percentage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hereof, and all credits of the Company shall be allocated among the Members for federal income tax purposes in accordance with their percentage interests except as otherwise required by law.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Sections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Profits or Net Losses,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Percentage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this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because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Membership Interest of the Remaining Member bears to the aggregate of the Membership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Remaining Member elects to purchase none or less than all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or the Remaining Members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Louisiana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180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Louisiana all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address of each member and manager, if management is vested in one or more managers pursuant to R.S. 12:1312.</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records which would enable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determine the relative voting rights of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together with any amendments thereto.</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limited liability company's federal and state income tax returns and reports, if any, for the three most recent years.</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any operating agreement which is in writing.</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any financial statements of the limited liability company for the three most recent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also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"Designated Individual").] The Tax Representative [(and any Designated Individual)]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is dissolved and shall commence the winding up of its affairs on the first to occur of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occurrence of events specified in writing in the articles of organization or operating agreement.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consent of its members in accordance with R.S. 12:1318.</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R.S. 12:1335.</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200" w:after="0" w:line="260" w:lineRule="exact"/>
        <w:ind w:left="1800" w:right="0" w:firstLine="0"/>
        <w:jc w:val="both"/>
      </w:pPr>
      <w:r>
        <w:rPr>
          <w:rFonts w:ascii="Times New Roman" w:hAnsi="Times New Roman" w:eastAsia="Times New Roman" w:cs="Times New Roman"/>
          <w:b w:val="0"/>
          <w:sz w:val="24"/>
        </w:rPr>
        <w:t>Upon the dissolution of the Company, the Company's assets shall be disposed of and its affairs wound up.</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Articles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file, upon dissolution and the commencement of winding up of the limited liability company, Articles of Dissolution with the Louisiana Secretary of State setting forth all information required by La. Rev. Stat. Ann. § 12:1339.</w:t>
      </w:r>
    </w:p>
    <w:p>
      <w:pPr>
        <w:keepNext w:val="0"/>
        <w:spacing w:before="120" w:after="0" w:line="260" w:lineRule="exact"/>
        <w:ind w:left="1440" w:right="0" w:firstLine="0"/>
        <w:jc w:val="left"/>
      </w:pPr>
      <w:r>
        <w:rPr>
          <w:rFonts w:ascii="Times New Roman" w:hAnsi="Times New Roman" w:eastAsia="Times New Roman" w:cs="Times New Roman"/>
          <w:b w:val="0"/>
          <w:sz w:val="24"/>
        </w:rPr>
        <w:t>9.6.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Louisiana Secretary of State stating that the Company has been liquidated and dissolved, once the Company has been liquidated completely:</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indemnify any Member/Manager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Member/Manager,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p>
    <w:p>
      <w:pPr>
        <w:keepNext w:val="0"/>
        <w:spacing w:before="200" w:after="0" w:line="260" w:lineRule="exact"/>
        <w:ind w:left="216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Louisiana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Louisiana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Louisiana.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80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p>
    <w:p>
      <w:pPr>
        <w:keepNext w:val="0"/>
        <w:spacing w:before="200" w:after="0" w:line="260" w:lineRule="exact"/>
        <w:ind w:left="180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Louisiana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 SPOUSAL CONSENT AND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