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OPERATING AGREEMENT OF [NAME],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PROFESSIONAL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FORMATION</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undersigned, as the sole equity Member, has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service limited liability company under the laws of the State of New York by filing on [date], articles of organization with the Department of State of New York.</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this Company is [name] Professional Limited Liability Company.</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for which this Company is formed is to engage in the profession of [identify profession] and any other lawful act, business or activity for which limited liability companies may be formed under the laws of the State of New York and to do any and all other things determined by the Member to be necessary, desirable or incidental to the foregoing purpose.</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shall become effective on the date the articles of organization are filed with the Department of State of New York, and shall continue until [date], unless the Company is dissolved earlier pursuant to the provisions of this Agreement or as provided in Section 701 of the New York Limited Liability Company Law, NY CLS LLC § 101 et seq. ("the Act")</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location of the principal place of business of the Company is [address]. The Member may change the principal place of business and establish additional places of business as the Member deems necessary or desirable to conduct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agent for service of process shall be [name], who is located at the following address: [address], or such other agent as the Member may designate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MANAGEMENT</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business and affairs of the Company shall be managed by the Member. The Member shall have full and complete authority, power and discretion to manage and control the business, affairs and properties of the Company, to make all decisions regarding those matters and to perform any and all other acts or activities customary or incidental to the management of the Company's business.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rights and powers of the Member to manage the affairs of the Company, by way of illustration but not by way of limitation, shall include the right and power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Member, including management services at the usual and customary rates prevailing in the management industry from time to time for similar services.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and maintain such public liability, hazard and other insurance, including professional liability insurance, as may be deemed necessary or appropriate by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Member may designate (withdrawals from such bank accounts to be made upon such signature or signatures as the Member may designate) and consistent with any professional, regulatory or licensing requirements governing the administration of client funds.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 revoke any of the elections referred to in the Internal Revenue Code ("Code") and prepare tax reporting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service limited liability company under all applicable state laws.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Admit itself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its shareholders, affiliates, officers, directors, partners, employees, agents and assigns shall not be liable for, and shall be indemnified and held harmless (to the extent of the Company's assets) from, any loss or damage incurred by them, the Company or the Member in connection with the business of the Company, including costs and reasonable attorneys' fees and any amounts expended in the settlement of any claims of loss or damage resulting from any act or omission performed or omitted.</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financial institution or any other person, firm or corporation dealing with the Member shall be required to ascertain whether the Member is acting in accordance with this Agreement, but such financial institution or such other person, firm or corporation shall be protected in relying upon the deed, transfer or assurance of, and the execution of such instrument or instruments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mailing address of the Member is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Member has contributed to the Company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value as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The Member owns 100%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not be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 or more additional members of the Company may be admitted to the Company with the written consent of the Member and on the terms agreed to by the Member. Such additional Member must be duly authorized to practice the profession in which the Company engages.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AND ACCOUNTING</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the Company has one member, the Company shall be disregarded as separate from its owner within the meaning of Treas. Reg. Section 301.7701-3(b)(1)(ii), and all net income and net loss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Accounting: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determine the appropriate accounting method or methods to be used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select as the Company's accounting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or fiscal year as may be approved by the Internal Revenue Service.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the Member's share of income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)(1)(B) of the Internal Revenue Code of 1986 (the "Code"), as amended, or its counterpart in any subsequently enacted Internal Revenue Code, any expenditures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any expenditures described in Section 709(</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which are not deducted or amortized in accordance with Section 709(b) of the Code, basis adjustments required pursuant to former Section 48(q) of the Code, and losses not deductible pursuant to Section 267(</w:t>
      </w:r>
      <w:r>
        <w:rPr>
          <w:rFonts w:ascii="Times New Roman" w:hAnsi="Times New Roman" w:eastAsia="Times New Roman" w:cs="Times New Roman"/>
          <w:b/>
          <w:sz w:val="24"/>
        </w:rPr>
        <w:t>a</w:t>
      </w:r>
      <w:r>
        <w:rPr>
          <w:rFonts w:ascii="Times New Roman" w:hAnsi="Times New Roman" w:eastAsia="Times New Roman" w:cs="Times New Roman"/>
          <w:b w:val="0"/>
          <w:sz w:val="24"/>
        </w:rPr>
        <w:t>) or 707(b)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4.3.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Tax Matters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sell, assign, hypothecate, encumber or otherwise transfer all or any part of the Member's interest in the Company. Any successor to the Member by merger or consolidation shall, without further act, be the Member hereunder, and the Company shall continue without dissolution.</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only sell, assign or exchange the Member's interest in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eligible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5.3.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existence of the restrictions on the sale or transfer of the Member's interest pursuant to New York law and this Agreement must be noted conspicuously on the face or back of every certificate representing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issued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the following events, the Company shall be dissolved: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disqualification, death, bankruptcy or the termination of the legal existence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of the Company expires;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acts to dissolve and terminate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and/or termination of the Company, the Member shall proceed with the liquidation of the Company and sale of its assets. The proceeds of such liquidation shall be applied and distributed in the following order or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creditors, including the Member in the 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extent permitted by law, in satisfaction of liabilities of the Company, whether by payment or by establishment of adequate reserves, other than liabilities for interim distributions to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setting up of any reserves which the Member may deem reasonably necessary in order to meet any contingent or unforeseen liabilities or obligations of the Company arising out of, or in connection with, the business of the Company. Said reserves shall be paid over by the Member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Member shall deem advisable, the financial institution shall distribute the balance remaining in the manner provided in this Article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in the order named above;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remaining assets of the Company shall be distributed to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90 days following the dissolution of the Company or the expiration of any time period for continuation of the Company, the Member shall file Articles of Dissolution and any other certificate required in the State of New York and in any other state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amendments to this Agreement require the approval of the Member and must be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New York.</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the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the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the Member either consents to the filing or such complaint or answer is not discharged or denied prior to the expiration of sixty (60) days following the date of filing.</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the Member and the Member's respective legal representatives, heirs, permitted successors and permitted assigns.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 has entered into this Agreement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member]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