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Missouri, was filed on [date], with the Missouri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Missouri Limited Liability Company Act (Mo. Rev. Stat. § 347.010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Missouri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44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44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Illinois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and as shall be determined from time to time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Members at any time.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by the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Members to some other officer or agent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seal, if any, and the secretary shall have authority to affix the same to any instrument requiring it, and when so affixed, it may be attested by his signature. The Members may give general authority to any other officer to affix the seal of the Company, if any, and to attest the affixing by his signature.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Percentage Interests,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1800" w:right="0" w:firstLine="0"/>
        <w:jc w:val="both"/>
      </w:pPr>
      <w:r>
        <w:rPr>
          <w:rFonts w:ascii="Times New Roman" w:hAnsi="Times New Roman" w:eastAsia="Times New Roman" w:cs="Times New Roman"/>
          <w:b w:val="0"/>
          <w:sz w:val="24"/>
        </w:rPr>
        <w:t>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180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80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80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80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800" w:right="0" w:firstLine="0"/>
        <w:jc w:val="both"/>
      </w:pPr>
      <w:r>
        <w:rPr>
          <w:rFonts w:ascii="Times New Roman" w:hAnsi="Times New Roman" w:eastAsia="Times New Roman" w:cs="Times New Roman"/>
          <w:b w:val="0"/>
          <w:sz w:val="24"/>
        </w:rPr>
        <w:t>"Net Profits" and "Net Losses" shall mean the taxable income or loss of the Partnership, as determined for federal income tax purposes pursuant to Treasury Regulations Section 1.704-1(b)(2), for each fiscal year of the Partnership, taking into account any adjustments necessary in order to comply with Treasury Regulations Section 1.704-1(b)(2)(iv).</w:t>
      </w:r>
    </w:p>
    <w:p>
      <w:pPr>
        <w:keepNext w:val="0"/>
        <w:spacing w:before="200" w:after="0" w:line="260" w:lineRule="exact"/>
        <w:ind w:left="180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Loss.</w:t>
      </w:r>
    </w:p>
    <w:p>
      <w:pPr>
        <w:keepNext w:val="0"/>
        <w:spacing w:before="200" w:after="0" w:line="260" w:lineRule="exact"/>
        <w:ind w:left="180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180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Chargeback of Minimum Gain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216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and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Missouri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44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Missouri all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happening of the events specified in the operating agreement or in the articles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written consent of all members;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the operating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by number, of the remaining members agree within ninety days after the occurrence of the event of withdrawal to dissolve the limited liability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any time there are no members; provided, that the limited liability company is not dissolved and is not required to be wound up if: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Unless otherwise provided in the operating agreement, within ninety days or such other period as is provided for in the operating agreement after the occurrence of the event that terminated the continued membership of the last remaining member, the personal representative, statutory or otherwise, of the last remaining member agrees in writing to continue the limited liability company and to the admission of such personal representative of such member or its nominee or designee to the limited liability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effective as of the occurrence of the event that terminated the continued membership of the last remaining member; provided, that the operating agreement may provide that the personal representative, statutory or otherwise, of the last remaining member shall be obligated to agree in writing to continue the limited liability company and to the admission of such personal representative of such member or its nominee or designee to the limited liability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effective as of the occurrence of the event that terminated the continued membership of the last remaining member;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admitted to the limited liability company in the manner provided for in the operating agreement, effective as of the occurrence of the event that terminated the continued membership of the last remaining member, within ninety days or such other period as is provided for in the limited liability company agreement after the occurrence of the event that terminated the continued membership of the last remaining member,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operating agreement that specifically provides for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limited liability company after there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remaining member of the limited liability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dissolution under section 347.143; or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limited liability company is not the surviving entity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consolidation.</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the Company's assets shall be disposed of and its affairs wound up. The Company shall file, as soon as possible after the occurrence of any event set forth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winding up with the Secretary of State which discloses the dissolution of the limited liability company and the commencement of winding up of its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Upon the completion of the winding up of the Company's affairs, the Company shall file Articles of Termination with the Missouri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180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Missouri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Missouri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Missouri.</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Missouri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